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63"/>
        <w:spacing w:after="0"/>
        <w:rPr>
          <w:sz w:val="20"/>
          <w:szCs w:val="20"/>
          <w:color w:val="auto"/>
        </w:rPr>
      </w:pPr>
      <w:r>
        <w:rPr>
          <w:rFonts w:ascii="Arial" w:cs="Arial" w:eastAsia="Arial" w:hAnsi="Arial"/>
          <w:sz w:val="32"/>
          <w:szCs w:val="32"/>
          <w:b w:val="1"/>
          <w:bCs w:val="1"/>
          <w:color w:val="auto"/>
        </w:rPr>
        <w:drawing>
          <wp:anchor simplePos="0" relativeHeight="251657728" behindDoc="1" locked="0" layoutInCell="0" allowOverlap="1">
            <wp:simplePos x="0" y="0"/>
            <wp:positionH relativeFrom="page">
              <wp:posOffset>276860</wp:posOffset>
            </wp:positionH>
            <wp:positionV relativeFrom="page">
              <wp:posOffset>166370</wp:posOffset>
            </wp:positionV>
            <wp:extent cx="699516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6995160" cy="8255"/>
                    </a:xfrm>
                    <a:prstGeom prst="rect">
                      <a:avLst/>
                    </a:prstGeom>
                    <a:noFill/>
                  </pic:spPr>
                </pic:pic>
              </a:graphicData>
            </a:graphic>
          </wp:anchor>
        </w:drawing>
        <w:drawing>
          <wp:anchor simplePos="0" relativeHeight="251657728" behindDoc="1" locked="0" layoutInCell="0" allowOverlap="1">
            <wp:simplePos x="0" y="0"/>
            <wp:positionH relativeFrom="page">
              <wp:posOffset>276860</wp:posOffset>
            </wp:positionH>
            <wp:positionV relativeFrom="page">
              <wp:posOffset>208915</wp:posOffset>
            </wp:positionV>
            <wp:extent cx="699516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995160" cy="8255"/>
                    </a:xfrm>
                    <a:prstGeom prst="rect">
                      <a:avLst/>
                    </a:prstGeom>
                    <a:noFill/>
                  </pic:spPr>
                </pic:pic>
              </a:graphicData>
            </a:graphic>
          </wp:anchor>
        </w:drawing>
        <w:t>UNITED STATES</w:t>
      </w:r>
    </w:p>
    <w:p>
      <w:pPr>
        <w:spacing w:after="0" w:line="31"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SECURITIES AND EXCHANGE COMMISSION</w:t>
      </w:r>
    </w:p>
    <w:p>
      <w:pPr>
        <w:jc w:val="center"/>
        <w:ind w:right="-63"/>
        <w:spacing w:after="0"/>
        <w:rPr>
          <w:sz w:val="20"/>
          <w:szCs w:val="20"/>
          <w:color w:val="auto"/>
        </w:rPr>
      </w:pPr>
      <w:r>
        <w:rPr>
          <w:rFonts w:ascii="Arial" w:cs="Arial" w:eastAsia="Arial" w:hAnsi="Arial"/>
          <w:sz w:val="22"/>
          <w:szCs w:val="22"/>
          <w:b w:val="1"/>
          <w:bCs w:val="1"/>
          <w:color w:val="auto"/>
        </w:rPr>
        <w:t>Washington, D.C. 20549</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218440</wp:posOffset>
            </wp:positionV>
            <wp:extent cx="147447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313" w:lineRule="exact"/>
        <w:rPr>
          <w:sz w:val="24"/>
          <w:szCs w:val="24"/>
          <w:color w:val="auto"/>
        </w:rPr>
      </w:pPr>
    </w:p>
    <w:p>
      <w:pPr>
        <w:jc w:val="center"/>
        <w:ind w:right="-63"/>
        <w:spacing w:after="0"/>
        <w:rPr>
          <w:sz w:val="20"/>
          <w:szCs w:val="20"/>
          <w:color w:val="auto"/>
        </w:rPr>
      </w:pPr>
      <w:r>
        <w:rPr>
          <w:rFonts w:ascii="Arial" w:cs="Arial" w:eastAsia="Arial" w:hAnsi="Arial"/>
          <w:sz w:val="32"/>
          <w:szCs w:val="32"/>
          <w:b w:val="1"/>
          <w:bCs w:val="1"/>
          <w:color w:val="auto"/>
        </w:rPr>
        <w:t>SCHEDULE 13G</w:t>
      </w:r>
    </w:p>
    <w:p>
      <w:pPr>
        <w:spacing w:after="0" w:line="226"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Under the Securities Exchange Act of 1934</w:t>
      </w:r>
    </w:p>
    <w:p>
      <w:pPr>
        <w:spacing w:after="0" w:line="14" w:lineRule="exact"/>
        <w:rPr>
          <w:sz w:val="24"/>
          <w:szCs w:val="24"/>
          <w:color w:val="auto"/>
        </w:rPr>
      </w:pPr>
    </w:p>
    <w:p>
      <w:pPr>
        <w:jc w:val="center"/>
        <w:ind w:right="-63"/>
        <w:spacing w:after="0"/>
        <w:rPr>
          <w:sz w:val="20"/>
          <w:szCs w:val="20"/>
          <w:color w:val="auto"/>
        </w:rPr>
      </w:pPr>
      <w:r>
        <w:rPr>
          <w:rFonts w:ascii="Arial" w:cs="Arial" w:eastAsia="Arial" w:hAnsi="Arial"/>
          <w:sz w:val="22"/>
          <w:szCs w:val="22"/>
          <w:b w:val="1"/>
          <w:bCs w:val="1"/>
          <w:color w:val="auto"/>
        </w:rPr>
        <w:t>(Amendment No. 2)*</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304165</wp:posOffset>
            </wp:positionV>
            <wp:extent cx="1474470" cy="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49" w:lineRule="exact"/>
        <w:rPr>
          <w:sz w:val="24"/>
          <w:szCs w:val="24"/>
          <w:color w:val="auto"/>
        </w:rPr>
      </w:pPr>
    </w:p>
    <w:p>
      <w:pPr>
        <w:jc w:val="center"/>
        <w:ind w:right="-63"/>
        <w:spacing w:after="0"/>
        <w:rPr>
          <w:sz w:val="20"/>
          <w:szCs w:val="20"/>
          <w:color w:val="auto"/>
        </w:rPr>
      </w:pPr>
      <w:r>
        <w:rPr>
          <w:rFonts w:ascii="Arial" w:cs="Arial" w:eastAsia="Arial" w:hAnsi="Arial"/>
          <w:sz w:val="40"/>
          <w:szCs w:val="40"/>
          <w:b w:val="1"/>
          <w:bCs w:val="1"/>
          <w:color w:val="auto"/>
        </w:rPr>
        <w:t>Cango Inc.</w:t>
      </w:r>
    </w:p>
    <w:p>
      <w:pPr>
        <w:spacing w:after="0" w:line="35"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(Name of Issuer)</w:t>
      </w:r>
    </w:p>
    <w:p>
      <w:pPr>
        <w:spacing w:after="0" w:line="200" w:lineRule="exact"/>
        <w:rPr>
          <w:sz w:val="24"/>
          <w:szCs w:val="24"/>
          <w:color w:val="auto"/>
        </w:rPr>
      </w:pPr>
    </w:p>
    <w:p>
      <w:pPr>
        <w:spacing w:after="0" w:line="221"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Class A Ordinary Shares, par value US$0.0001 per share</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(Title of Class of Securities)</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 xml:space="preserve">137586 103 </w:t>
      </w:r>
      <w:r>
        <w:rPr>
          <w:rFonts w:ascii="Arial" w:cs="Arial" w:eastAsia="Arial" w:hAnsi="Arial"/>
          <w:sz w:val="15"/>
          <w:szCs w:val="15"/>
          <w:b w:val="1"/>
          <w:bCs w:val="1"/>
          <w:color w:val="auto"/>
        </w:rPr>
        <w:t>(1)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(CUSIP Number)</w:t>
      </w:r>
    </w:p>
    <w:p>
      <w:pPr>
        <w:spacing w:after="0" w:line="200" w:lineRule="exact"/>
        <w:rPr>
          <w:sz w:val="24"/>
          <w:szCs w:val="24"/>
          <w:color w:val="auto"/>
        </w:rPr>
      </w:pPr>
    </w:p>
    <w:p>
      <w:pPr>
        <w:spacing w:after="0" w:line="208" w:lineRule="exact"/>
        <w:rPr>
          <w:sz w:val="24"/>
          <w:szCs w:val="24"/>
          <w:color w:val="auto"/>
        </w:rPr>
      </w:pPr>
    </w:p>
    <w:p>
      <w:pPr>
        <w:jc w:val="center"/>
        <w:ind w:right="-63"/>
        <w:spacing w:after="0"/>
        <w:rPr>
          <w:sz w:val="20"/>
          <w:szCs w:val="20"/>
          <w:color w:val="auto"/>
        </w:rPr>
      </w:pPr>
      <w:r>
        <w:rPr>
          <w:rFonts w:ascii="Arial" w:cs="Arial" w:eastAsia="Arial" w:hAnsi="Arial"/>
          <w:sz w:val="18"/>
          <w:szCs w:val="18"/>
          <w:b w:val="1"/>
          <w:bCs w:val="1"/>
          <w:color w:val="auto"/>
        </w:rPr>
        <w:t>December 31, 2021</w:t>
      </w:r>
    </w:p>
    <w:p>
      <w:pPr>
        <w:spacing w:after="0" w:line="21" w:lineRule="exact"/>
        <w:rPr>
          <w:sz w:val="24"/>
          <w:szCs w:val="24"/>
          <w:color w:val="auto"/>
        </w:rPr>
      </w:pPr>
    </w:p>
    <w:p>
      <w:pPr>
        <w:jc w:val="center"/>
        <w:ind w:right="-63"/>
        <w:spacing w:after="0"/>
        <w:rPr>
          <w:sz w:val="20"/>
          <w:szCs w:val="20"/>
          <w:color w:val="auto"/>
        </w:rPr>
      </w:pPr>
      <w:r>
        <w:rPr>
          <w:rFonts w:ascii="Arial" w:cs="Arial" w:eastAsia="Arial" w:hAnsi="Arial"/>
          <w:sz w:val="14"/>
          <w:szCs w:val="14"/>
          <w:b w:val="1"/>
          <w:bCs w:val="1"/>
          <w:color w:val="auto"/>
        </w:rPr>
        <w:t>(Date of Event which Requires Filing of this Statement)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2760345</wp:posOffset>
            </wp:positionH>
            <wp:positionV relativeFrom="paragraph">
              <wp:posOffset>296545</wp:posOffset>
            </wp:positionV>
            <wp:extent cx="147447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147447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70" w:lineRule="exact"/>
        <w:rPr>
          <w:sz w:val="24"/>
          <w:szCs w:val="24"/>
          <w:color w:val="auto"/>
        </w:rPr>
      </w:pPr>
    </w:p>
    <w:p>
      <w:pPr>
        <w:ind w:left="4"/>
        <w:spacing w:after="0"/>
        <w:rPr>
          <w:sz w:val="20"/>
          <w:szCs w:val="20"/>
          <w:color w:val="auto"/>
        </w:rPr>
      </w:pPr>
      <w:r>
        <w:rPr>
          <w:rFonts w:ascii="Arial" w:cs="Arial" w:eastAsia="Arial" w:hAnsi="Arial"/>
          <w:sz w:val="18"/>
          <w:szCs w:val="18"/>
          <w:color w:val="auto"/>
        </w:rPr>
        <w:t>Check the appropriate box to designate the rule pursuant to which this Schedule is filed:</w:t>
      </w:r>
    </w:p>
    <w:p>
      <w:pPr>
        <w:spacing w:after="0" w:line="225" w:lineRule="exact"/>
        <w:rPr>
          <w:sz w:val="24"/>
          <w:szCs w:val="24"/>
          <w:color w:val="auto"/>
        </w:rPr>
      </w:pPr>
    </w:p>
    <w:p>
      <w:pPr>
        <w:ind w:left="644" w:hanging="204"/>
        <w:spacing w:after="0"/>
        <w:tabs>
          <w:tab w:leader="none" w:pos="64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13d-1(b)</w:t>
      </w:r>
    </w:p>
    <w:p>
      <w:pPr>
        <w:spacing w:after="0" w:line="225" w:lineRule="exact"/>
        <w:rPr>
          <w:rFonts w:ascii="MS PGothic" w:cs="MS PGothic" w:eastAsia="MS PGothic" w:hAnsi="MS PGothic"/>
          <w:sz w:val="18"/>
          <w:szCs w:val="18"/>
          <w:color w:val="auto"/>
        </w:rPr>
      </w:pPr>
    </w:p>
    <w:p>
      <w:pPr>
        <w:ind w:left="644" w:hanging="204"/>
        <w:spacing w:after="0"/>
        <w:tabs>
          <w:tab w:leader="none" w:pos="644" w:val="left"/>
        </w:tabs>
        <w:numPr>
          <w:ilvl w:val="0"/>
          <w:numId w:val="1"/>
        </w:numPr>
        <w:rPr>
          <w:rFonts w:ascii="MS PGothic" w:cs="MS PGothic" w:eastAsia="MS PGothic" w:hAnsi="MS PGothic"/>
          <w:sz w:val="18"/>
          <w:szCs w:val="18"/>
          <w:color w:val="auto"/>
        </w:rPr>
      </w:pPr>
      <w:r>
        <w:rPr>
          <w:rFonts w:ascii="Arial" w:cs="Arial" w:eastAsia="Arial" w:hAnsi="Arial"/>
          <w:sz w:val="18"/>
          <w:szCs w:val="18"/>
          <w:color w:val="auto"/>
        </w:rPr>
        <w:t>Rule 13d-1(c)</w:t>
      </w:r>
    </w:p>
    <w:p>
      <w:pPr>
        <w:spacing w:after="0" w:line="192" w:lineRule="exact"/>
        <w:rPr>
          <w:sz w:val="24"/>
          <w:szCs w:val="24"/>
          <w:color w:val="auto"/>
        </w:rPr>
      </w:pPr>
    </w:p>
    <w:p>
      <w:pPr>
        <w:ind w:left="444"/>
        <w:spacing w:after="0" w:line="207" w:lineRule="exact"/>
        <w:rPr>
          <w:sz w:val="24"/>
          <w:szCs w:val="24"/>
          <w:color w:val="auto"/>
        </w:rPr>
      </w:pPr>
      <w:r>
        <w:rPr>
          <w:rFonts w:ascii="MS PGothic" w:cs="MS PGothic" w:eastAsia="MS PGothic" w:hAnsi="MS PGothic"/>
          <w:sz w:val="18"/>
          <w:szCs w:val="18"/>
          <w:color w:val="auto"/>
        </w:rPr>
        <w:t>☒</w:t>
      </w:r>
      <w:r>
        <w:rPr>
          <w:rFonts w:ascii="Arial" w:cs="Arial" w:eastAsia="Arial" w:hAnsi="Arial"/>
          <w:sz w:val="18"/>
          <w:szCs w:val="18"/>
          <w:color w:val="auto"/>
        </w:rPr>
        <w:t xml:space="preserve"> Rule 13d-1(d)</w:t>
      </w:r>
    </w:p>
    <w:p>
      <w:pPr>
        <w:spacing w:after="0" w:line="284" w:lineRule="exact"/>
        <w:rPr>
          <w:sz w:val="24"/>
          <w:szCs w:val="24"/>
          <w:color w:val="auto"/>
        </w:rPr>
      </w:pPr>
    </w:p>
    <w:p>
      <w:pPr>
        <w:ind w:left="424" w:hanging="432"/>
        <w:spacing w:after="0" w:line="308" w:lineRule="auto"/>
        <w:rPr>
          <w:sz w:val="24"/>
          <w:szCs w:val="24"/>
          <w:color w:val="auto"/>
        </w:rPr>
      </w:pPr>
      <w:r>
        <w:rPr>
          <w:rFonts w:ascii="Arial" w:cs="Arial" w:eastAsia="Arial" w:hAnsi="Arial"/>
          <w:sz w:val="18"/>
          <w:szCs w:val="18"/>
          <w:color w:val="auto"/>
        </w:rPr>
        <w:t>*</w:t>
      </w:r>
      <w:r>
        <w:rPr>
          <w:rFonts w:ascii="Arial" w:cs="Arial" w:eastAsia="Arial" w:hAnsi="Arial"/>
          <w:sz w:val="17"/>
          <w:szCs w:val="17"/>
          <w:color w:val="auto"/>
        </w:rPr>
        <w:t>The remainder of this cover page shall be filled out for a reporting person’s initial filing on this form with respect to the subject class of securities, and for any subsequent amendment containing information which would alter the disclosures provided in a prior cover page.</w:t>
      </w:r>
    </w:p>
    <w:p>
      <w:pPr>
        <w:spacing w:after="0" w:line="146" w:lineRule="exact"/>
        <w:rPr>
          <w:sz w:val="24"/>
          <w:szCs w:val="24"/>
          <w:color w:val="auto"/>
        </w:rPr>
      </w:pPr>
    </w:p>
    <w:p>
      <w:pPr>
        <w:ind w:left="4" w:right="60"/>
        <w:spacing w:after="0" w:line="263" w:lineRule="auto"/>
        <w:rPr>
          <w:sz w:val="20"/>
          <w:szCs w:val="20"/>
          <w:color w:val="auto"/>
        </w:rPr>
      </w:pPr>
      <w:r>
        <w:rPr>
          <w:rFonts w:ascii="Arial" w:cs="Arial" w:eastAsia="Arial" w:hAnsi="Arial"/>
          <w:sz w:val="18"/>
          <w:szCs w:val="18"/>
          <w:color w:val="auto"/>
        </w:rPr>
        <w:t xml:space="preserve">The information required in the remainder of this cover page shall not be deemed to be “filed” for the purpose of Section 18 of the Securities Exchange Act of 1934 (“Act”) or otherwise subject to the liabilities of that section of the Act but shall be subject to all other provisions of the Act (however, see the </w:t>
      </w:r>
      <w:r>
        <w:rPr>
          <w:rFonts w:ascii="Arial" w:cs="Arial" w:eastAsia="Arial" w:hAnsi="Arial"/>
          <w:sz w:val="18"/>
          <w:szCs w:val="18"/>
          <w:i w:val="1"/>
          <w:iCs w:val="1"/>
          <w:color w:val="auto"/>
        </w:rPr>
        <w:t>Notes</w:t>
      </w:r>
      <w:r>
        <w:rPr>
          <w:rFonts w:ascii="Arial" w:cs="Arial" w:eastAsia="Arial" w:hAnsi="Arial"/>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151130</wp:posOffset>
            </wp:positionV>
            <wp:extent cx="771525"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71525" cy="8255"/>
                    </a:xfrm>
                    <a:prstGeom prst="rect">
                      <a:avLst/>
                    </a:prstGeom>
                    <a:noFill/>
                  </pic:spPr>
                </pic:pic>
              </a:graphicData>
            </a:graphic>
          </wp:anchor>
        </w:drawing>
      </w:r>
    </w:p>
    <w:p>
      <w:pPr>
        <w:spacing w:after="0" w:line="258" w:lineRule="exact"/>
        <w:rPr>
          <w:sz w:val="24"/>
          <w:szCs w:val="24"/>
          <w:color w:val="auto"/>
        </w:rPr>
      </w:pPr>
    </w:p>
    <w:p>
      <w:pPr>
        <w:ind w:left="424" w:hanging="424"/>
        <w:spacing w:after="0"/>
        <w:tabs>
          <w:tab w:leader="none" w:pos="424" w:val="left"/>
        </w:tabs>
        <w:numPr>
          <w:ilvl w:val="0"/>
          <w:numId w:val="3"/>
        </w:numPr>
        <w:rPr>
          <w:rFonts w:ascii="Arial" w:cs="Arial" w:eastAsia="Arial" w:hAnsi="Arial"/>
          <w:sz w:val="18"/>
          <w:szCs w:val="18"/>
          <w:color w:val="auto"/>
        </w:rPr>
      </w:pPr>
      <w:r>
        <w:rPr>
          <w:rFonts w:ascii="Arial" w:cs="Arial" w:eastAsia="Arial" w:hAnsi="Arial"/>
          <w:sz w:val="18"/>
          <w:szCs w:val="18"/>
          <w:color w:val="auto"/>
        </w:rPr>
        <w:t>This CUSIP number applies to the Issuer’s American Depositary Shares, each representing two Class A ordinary shares.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0</wp:posOffset>
            </wp:positionH>
            <wp:positionV relativeFrom="paragraph">
              <wp:posOffset>177800</wp:posOffset>
            </wp:positionV>
            <wp:extent cx="699516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995160" cy="8890"/>
                    </a:xfrm>
                    <a:prstGeom prst="rect">
                      <a:avLst/>
                    </a:prstGeom>
                    <a:noFill/>
                  </pic:spPr>
                </pic:pic>
              </a:graphicData>
            </a:graphic>
          </wp:anchor>
        </w:drawing>
        <w:drawing>
          <wp:anchor simplePos="0" relativeHeight="251657728" behindDoc="1" locked="0" layoutInCell="0" allowOverlap="1">
            <wp:simplePos x="0" y="0"/>
            <wp:positionH relativeFrom="column">
              <wp:posOffset>0</wp:posOffset>
            </wp:positionH>
            <wp:positionV relativeFrom="paragraph">
              <wp:posOffset>220345</wp:posOffset>
            </wp:positionV>
            <wp:extent cx="6995160" cy="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995160" cy="8255"/>
                    </a:xfrm>
                    <a:prstGeom prst="rect">
                      <a:avLst/>
                    </a:prstGeom>
                    <a:noFill/>
                  </pic:spPr>
                </pic:pic>
              </a:graphicData>
            </a:graphic>
          </wp:anchor>
        </w:drawing>
      </w:r>
    </w:p>
    <w:p>
      <w:pPr>
        <w:sectPr>
          <w:pgSz w:w="11900" w:h="16838" w:orient="portrait"/>
          <w:cols w:equalWidth="0" w:num="1">
            <w:col w:w="10944"/>
          </w:cols>
          <w:pgMar w:left="436" w:top="517" w:right="519" w:bottom="1440" w:gutter="0" w:footer="0" w:header="0"/>
        </w:sectPr>
      </w:pPr>
    </w:p>
    <w:bookmarkStart w:id="1" w:name="page2"/>
    <w:bookmarkEnd w:id="1"/>
    <w:p>
      <w:pPr>
        <w:jc w:val="center"/>
        <w:ind w:right="-23"/>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74865" cy="38735"/>
                    </a:xfrm>
                    <a:prstGeom prst="rect">
                      <a:avLst/>
                    </a:prstGeom>
                    <a:noFill/>
                  </pic:spPr>
                </pic:pic>
              </a:graphicData>
            </a:graphic>
          </wp:anchor>
        </w:drawing>
        <w:t>SCHEDULE 13G</w:t>
      </w:r>
    </w:p>
    <w:p>
      <w:pPr>
        <w:spacing w:after="0" w:line="131" w:lineRule="exact"/>
        <w:rPr>
          <w:sz w:val="20"/>
          <w:szCs w:val="20"/>
          <w:color w:val="auto"/>
        </w:rPr>
      </w:pPr>
    </w:p>
    <w:p>
      <w:pPr>
        <w:ind w:left="4"/>
        <w:spacing w:after="0"/>
        <w:rPr>
          <w:sz w:val="20"/>
          <w:szCs w:val="20"/>
          <w:color w:val="auto"/>
        </w:rPr>
      </w:pPr>
      <w:r>
        <w:rPr>
          <w:rFonts w:ascii="Arial" w:cs="Arial" w:eastAsia="Arial" w:hAnsi="Arial"/>
          <w:sz w:val="18"/>
          <w:szCs w:val="18"/>
          <w:b w:val="1"/>
          <w:bCs w:val="1"/>
          <w:color w:val="auto"/>
        </w:rPr>
        <w:t>CUSIP No. 137586 103</w:t>
      </w:r>
    </w:p>
    <w:p>
      <w:pPr>
        <w:spacing w:after="0" w:line="144"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1</w:t>
      </w:r>
      <w:r>
        <w:rPr>
          <w:sz w:val="20"/>
          <w:szCs w:val="20"/>
          <w:color w:val="auto"/>
        </w:rPr>
        <w:tab/>
      </w:r>
      <w:r>
        <w:rPr>
          <w:rFonts w:ascii="Arial" w:cs="Arial" w:eastAsia="Arial" w:hAnsi="Arial"/>
          <w:sz w:val="15"/>
          <w:szCs w:val="15"/>
          <w:b w:val="1"/>
          <w:bCs w:val="1"/>
          <w:color w:val="auto"/>
        </w:rPr>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-127635</wp:posOffset>
            </wp:positionV>
            <wp:extent cx="6926580" cy="55035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6926580" cy="5503545"/>
                    </a:xfrm>
                    <a:prstGeom prst="rect">
                      <a:avLst/>
                    </a:prstGeom>
                    <a:noFill/>
                  </pic:spPr>
                </pic:pic>
              </a:graphicData>
            </a:graphic>
          </wp:anchor>
        </w:drawing>
      </w:r>
    </w:p>
    <w:p>
      <w:pPr>
        <w:spacing w:after="0" w:line="202" w:lineRule="exact"/>
        <w:rPr>
          <w:sz w:val="20"/>
          <w:szCs w:val="20"/>
          <w:color w:val="auto"/>
        </w:rPr>
      </w:pPr>
    </w:p>
    <w:tbl>
      <w:tblPr>
        <w:tblLayout w:type="fixed"/>
        <w:tblInd w:w="4" w:type="dxa"/>
        <w:tblCellMar>
          <w:top w:w="0" w:type="dxa"/>
          <w:left w:w="0" w:type="dxa"/>
          <w:bottom w:w="0" w:type="dxa"/>
          <w:right w:w="0" w:type="dxa"/>
        </w:tblCellMar>
      </w:tblPr>
      <w:tr>
        <w:trPr>
          <w:trHeight w:val="276"/>
        </w:trPr>
        <w:tc>
          <w:tcPr>
            <w:tcW w:w="10900" w:type="dxa"/>
            <w:vAlign w:val="bottom"/>
            <w:tcBorders>
              <w:bottom w:val="single" w:sz="8" w:color="auto"/>
            </w:tcBorders>
            <w:gridSpan w:val="4"/>
          </w:tcPr>
          <w:p>
            <w:pPr>
              <w:ind w:left="480"/>
              <w:spacing w:after="0"/>
              <w:rPr>
                <w:sz w:val="20"/>
                <w:szCs w:val="20"/>
                <w:color w:val="auto"/>
              </w:rPr>
            </w:pPr>
            <w:r>
              <w:rPr>
                <w:rFonts w:ascii="Arial" w:cs="Arial" w:eastAsia="Arial" w:hAnsi="Arial"/>
                <w:sz w:val="22"/>
                <w:szCs w:val="22"/>
                <w:color w:val="auto"/>
              </w:rPr>
              <w:t>Xiaojun Zhang</w:t>
            </w:r>
          </w:p>
        </w:tc>
        <w:tc>
          <w:tcPr>
            <w:tcW w:w="0" w:type="dxa"/>
            <w:vAlign w:val="bottom"/>
          </w:tcPr>
          <w:p>
            <w:pPr>
              <w:spacing w:after="0"/>
              <w:rPr>
                <w:sz w:val="1"/>
                <w:szCs w:val="1"/>
                <w:color w:val="auto"/>
              </w:rPr>
            </w:pPr>
          </w:p>
        </w:tc>
      </w:tr>
      <w:tr>
        <w:trPr>
          <w:trHeight w:val="164"/>
        </w:trPr>
        <w:tc>
          <w:tcPr>
            <w:tcW w:w="10900" w:type="dxa"/>
            <w:vAlign w:val="bottom"/>
            <w:gridSpan w:val="4"/>
          </w:tcPr>
          <w:p>
            <w:pPr>
              <w:ind w:left="240"/>
              <w:spacing w:after="0" w:line="164" w:lineRule="exact"/>
              <w:rPr>
                <w:sz w:val="20"/>
                <w:szCs w:val="20"/>
                <w:color w:val="auto"/>
              </w:rPr>
            </w:pPr>
            <w:r>
              <w:rPr>
                <w:rFonts w:ascii="Arial" w:cs="Arial" w:eastAsia="Arial" w:hAnsi="Arial"/>
                <w:sz w:val="18"/>
                <w:szCs w:val="18"/>
                <w:b w:val="1"/>
                <w:bCs w:val="1"/>
                <w:color w:val="auto"/>
              </w:rPr>
              <w:t>2  Check the Appropriate Box if a Member of a Group (See Instructions)</w:t>
            </w:r>
          </w:p>
        </w:tc>
        <w:tc>
          <w:tcPr>
            <w:tcW w:w="0" w:type="dxa"/>
            <w:vAlign w:val="bottom"/>
          </w:tcPr>
          <w:p>
            <w:pPr>
              <w:spacing w:after="0"/>
              <w:rPr>
                <w:sz w:val="1"/>
                <w:szCs w:val="1"/>
                <w:color w:val="auto"/>
              </w:rPr>
            </w:pPr>
          </w:p>
        </w:tc>
      </w:tr>
      <w:tr>
        <w:trPr>
          <w:trHeight w:val="283"/>
        </w:trPr>
        <w:tc>
          <w:tcPr>
            <w:tcW w:w="1100" w:type="dxa"/>
            <w:vAlign w:val="bottom"/>
            <w:gridSpan w:val="2"/>
          </w:tcPr>
          <w:p>
            <w:pPr>
              <w:ind w:left="480"/>
              <w:spacing w:after="0" w:line="207" w:lineRule="exact"/>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p>
        </w:tc>
        <w:tc>
          <w:tcPr>
            <w:tcW w:w="180" w:type="dxa"/>
            <w:vAlign w:val="bottom"/>
          </w:tcPr>
          <w:p>
            <w:pPr>
              <w:spacing w:after="0"/>
              <w:rPr>
                <w:sz w:val="24"/>
                <w:szCs w:val="24"/>
                <w:color w:val="auto"/>
              </w:rPr>
            </w:pPr>
          </w:p>
        </w:tc>
        <w:tc>
          <w:tcPr>
            <w:tcW w:w="9620" w:type="dxa"/>
            <w:vAlign w:val="bottom"/>
          </w:tcPr>
          <w:p>
            <w:pPr>
              <w:ind w:left="20"/>
              <w:spacing w:after="0" w:line="207" w:lineRule="exact"/>
              <w:rPr>
                <w:sz w:val="20"/>
                <w:szCs w:val="20"/>
                <w:color w:val="auto"/>
              </w:rPr>
            </w:pPr>
            <w:r>
              <w:rPr>
                <w:rFonts w:ascii="Arial" w:cs="Arial" w:eastAsia="Arial" w:hAnsi="Arial"/>
                <w:sz w:val="18"/>
                <w:szCs w:val="18"/>
                <w:color w:val="auto"/>
              </w:rPr>
              <w:t xml:space="preserve">(b) </w:t>
            </w:r>
            <w:r>
              <w:rPr>
                <w:rFonts w:ascii="MS PGothic" w:cs="MS PGothic" w:eastAsia="MS PGothic" w:hAnsi="MS PGothic"/>
                <w:sz w:val="18"/>
                <w:szCs w:val="18"/>
                <w:color w:val="auto"/>
              </w:rPr>
              <w:t>☐</w:t>
            </w:r>
          </w:p>
        </w:tc>
        <w:tc>
          <w:tcPr>
            <w:tcW w:w="0" w:type="dxa"/>
            <w:vAlign w:val="bottom"/>
          </w:tcPr>
          <w:p>
            <w:pPr>
              <w:spacing w:after="0"/>
              <w:rPr>
                <w:sz w:val="1"/>
                <w:szCs w:val="1"/>
                <w:color w:val="auto"/>
              </w:rPr>
            </w:pPr>
          </w:p>
        </w:tc>
      </w:tr>
      <w:tr>
        <w:trPr>
          <w:trHeight w:val="209"/>
        </w:trPr>
        <w:tc>
          <w:tcPr>
            <w:tcW w:w="1040" w:type="dxa"/>
            <w:vAlign w:val="bottom"/>
            <w:tcBorders>
              <w:bottom w:val="single" w:sz="8" w:color="auto"/>
            </w:tcBorders>
          </w:tcPr>
          <w:p>
            <w:pPr>
              <w:spacing w:after="0"/>
              <w:rPr>
                <w:sz w:val="18"/>
                <w:szCs w:val="18"/>
                <w:color w:val="auto"/>
              </w:rPr>
            </w:pPr>
          </w:p>
        </w:tc>
        <w:tc>
          <w:tcPr>
            <w:tcW w:w="9860" w:type="dxa"/>
            <w:vAlign w:val="bottom"/>
            <w:tcBorders>
              <w:bottom w:val="single" w:sz="8" w:color="auto"/>
            </w:tcBorders>
            <w:gridSpan w:val="3"/>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10900" w:type="dxa"/>
            <w:vAlign w:val="bottom"/>
            <w:gridSpan w:val="4"/>
          </w:tcPr>
          <w:p>
            <w:pPr>
              <w:ind w:left="240"/>
              <w:spacing w:after="0"/>
              <w:rPr>
                <w:sz w:val="20"/>
                <w:szCs w:val="20"/>
                <w:color w:val="auto"/>
              </w:rPr>
            </w:pPr>
            <w:r>
              <w:rPr>
                <w:rFonts w:ascii="Arial" w:cs="Arial" w:eastAsia="Arial" w:hAnsi="Arial"/>
                <w:sz w:val="18"/>
                <w:szCs w:val="18"/>
                <w:b w:val="1"/>
                <w:bCs w:val="1"/>
                <w:color w:val="auto"/>
              </w:rPr>
              <w:t>3  SEC Use Only</w:t>
            </w:r>
          </w:p>
        </w:tc>
        <w:tc>
          <w:tcPr>
            <w:tcW w:w="0" w:type="dxa"/>
            <w:vAlign w:val="bottom"/>
          </w:tcPr>
          <w:p>
            <w:pPr>
              <w:spacing w:after="0"/>
              <w:rPr>
                <w:sz w:val="1"/>
                <w:szCs w:val="1"/>
                <w:color w:val="auto"/>
              </w:rPr>
            </w:pPr>
          </w:p>
        </w:tc>
      </w:tr>
      <w:tr>
        <w:trPr>
          <w:trHeight w:val="211"/>
        </w:trPr>
        <w:tc>
          <w:tcPr>
            <w:tcW w:w="1040" w:type="dxa"/>
            <w:vAlign w:val="bottom"/>
            <w:tcBorders>
              <w:bottom w:val="single" w:sz="8" w:color="auto"/>
            </w:tcBorders>
          </w:tcPr>
          <w:p>
            <w:pPr>
              <w:spacing w:after="0"/>
              <w:rPr>
                <w:sz w:val="18"/>
                <w:szCs w:val="18"/>
                <w:color w:val="auto"/>
              </w:rPr>
            </w:pPr>
          </w:p>
        </w:tc>
        <w:tc>
          <w:tcPr>
            <w:tcW w:w="9860" w:type="dxa"/>
            <w:vAlign w:val="bottom"/>
            <w:tcBorders>
              <w:bottom w:val="single" w:sz="8" w:color="auto"/>
            </w:tcBorders>
            <w:gridSpan w:val="3"/>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10900" w:type="dxa"/>
            <w:vAlign w:val="bottom"/>
            <w:gridSpan w:val="4"/>
          </w:tcPr>
          <w:p>
            <w:pPr>
              <w:ind w:left="240"/>
              <w:spacing w:after="0"/>
              <w:rPr>
                <w:sz w:val="20"/>
                <w:szCs w:val="20"/>
                <w:color w:val="auto"/>
              </w:rPr>
            </w:pPr>
            <w:r>
              <w:rPr>
                <w:rFonts w:ascii="Arial" w:cs="Arial" w:eastAsia="Arial" w:hAnsi="Arial"/>
                <w:sz w:val="18"/>
                <w:szCs w:val="18"/>
                <w:b w:val="1"/>
                <w:bCs w:val="1"/>
                <w:color w:val="auto"/>
              </w:rPr>
              <w:t>4  Citizenship or Place of Organization</w:t>
            </w:r>
          </w:p>
        </w:tc>
        <w:tc>
          <w:tcPr>
            <w:tcW w:w="0" w:type="dxa"/>
            <w:vAlign w:val="bottom"/>
          </w:tcPr>
          <w:p>
            <w:pPr>
              <w:spacing w:after="0"/>
              <w:rPr>
                <w:sz w:val="1"/>
                <w:szCs w:val="1"/>
                <w:color w:val="auto"/>
              </w:rPr>
            </w:pPr>
          </w:p>
        </w:tc>
      </w:tr>
      <w:tr>
        <w:trPr>
          <w:trHeight w:val="452"/>
        </w:trPr>
        <w:tc>
          <w:tcPr>
            <w:tcW w:w="10900" w:type="dxa"/>
            <w:vAlign w:val="bottom"/>
            <w:tcBorders>
              <w:bottom w:val="single" w:sz="8" w:color="auto"/>
            </w:tcBorders>
            <w:gridSpan w:val="4"/>
          </w:tcPr>
          <w:p>
            <w:pPr>
              <w:ind w:left="480"/>
              <w:spacing w:after="0"/>
              <w:rPr>
                <w:sz w:val="20"/>
                <w:szCs w:val="20"/>
                <w:color w:val="auto"/>
              </w:rPr>
            </w:pPr>
            <w:r>
              <w:rPr>
                <w:rFonts w:ascii="Arial" w:cs="Arial" w:eastAsia="Arial" w:hAnsi="Arial"/>
                <w:sz w:val="22"/>
                <w:szCs w:val="22"/>
                <w:color w:val="auto"/>
              </w:rPr>
              <w:t>People’s Republic of China</w:t>
            </w:r>
          </w:p>
        </w:tc>
        <w:tc>
          <w:tcPr>
            <w:tcW w:w="0" w:type="dxa"/>
            <w:vAlign w:val="bottom"/>
          </w:tcPr>
          <w:p>
            <w:pPr>
              <w:spacing w:after="0"/>
              <w:rPr>
                <w:sz w:val="1"/>
                <w:szCs w:val="1"/>
                <w:color w:val="auto"/>
              </w:rPr>
            </w:pPr>
          </w:p>
        </w:tc>
      </w:tr>
      <w:tr>
        <w:trPr>
          <w:trHeight w:val="230"/>
        </w:trPr>
        <w:tc>
          <w:tcPr>
            <w:tcW w:w="10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rPr>
              <w:t>5</w:t>
            </w:r>
          </w:p>
        </w:tc>
        <w:tc>
          <w:tcPr>
            <w:tcW w:w="9620" w:type="dxa"/>
            <w:vAlign w:val="bottom"/>
          </w:tcPr>
          <w:p>
            <w:pPr>
              <w:ind w:left="140"/>
              <w:spacing w:after="0"/>
              <w:rPr>
                <w:sz w:val="20"/>
                <w:szCs w:val="20"/>
                <w:color w:val="auto"/>
              </w:rPr>
            </w:pPr>
            <w:r>
              <w:rPr>
                <w:rFonts w:ascii="Arial" w:cs="Arial" w:eastAsia="Arial" w:hAnsi="Arial"/>
                <w:sz w:val="18"/>
                <w:szCs w:val="18"/>
                <w:b w:val="1"/>
                <w:bCs w:val="1"/>
                <w:color w:val="auto"/>
              </w:rPr>
              <w:t>Sole Voting Power</w:t>
            </w:r>
          </w:p>
        </w:tc>
        <w:tc>
          <w:tcPr>
            <w:tcW w:w="0" w:type="dxa"/>
            <w:vAlign w:val="bottom"/>
          </w:tcPr>
          <w:p>
            <w:pPr>
              <w:spacing w:after="0"/>
              <w:rPr>
                <w:sz w:val="1"/>
                <w:szCs w:val="1"/>
                <w:color w:val="auto"/>
              </w:rPr>
            </w:pPr>
          </w:p>
        </w:tc>
      </w:tr>
      <w:tr>
        <w:trPr>
          <w:trHeight w:val="454"/>
        </w:trPr>
        <w:tc>
          <w:tcPr>
            <w:tcW w:w="1040" w:type="dxa"/>
            <w:vAlign w:val="bottom"/>
          </w:tcPr>
          <w:p>
            <w:pPr>
              <w:jc w:val="center"/>
              <w:ind w:left="67"/>
              <w:spacing w:after="0"/>
              <w:rPr>
                <w:sz w:val="20"/>
                <w:szCs w:val="20"/>
                <w:color w:val="auto"/>
              </w:rPr>
            </w:pPr>
            <w:r>
              <w:rPr>
                <w:rFonts w:ascii="Arial" w:cs="Arial" w:eastAsia="Arial" w:hAnsi="Arial"/>
                <w:sz w:val="18"/>
                <w:szCs w:val="18"/>
                <w:b w:val="1"/>
                <w:bCs w:val="1"/>
                <w:color w:val="auto"/>
                <w:w w:val="93"/>
              </w:rPr>
              <w:t>Number of</w:t>
            </w:r>
          </w:p>
        </w:tc>
        <w:tc>
          <w:tcPr>
            <w:tcW w:w="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620" w:type="dxa"/>
            <w:vAlign w:val="bottom"/>
            <w:tcBorders>
              <w:bottom w:val="single" w:sz="8" w:color="auto"/>
            </w:tcBorders>
          </w:tcPr>
          <w:p>
            <w:pPr>
              <w:ind w:left="140"/>
              <w:spacing w:after="0"/>
              <w:rPr>
                <w:sz w:val="20"/>
                <w:szCs w:val="20"/>
                <w:color w:val="auto"/>
              </w:rPr>
            </w:pPr>
            <w:r>
              <w:rPr>
                <w:rFonts w:ascii="Arial" w:cs="Arial" w:eastAsia="Arial" w:hAnsi="Arial"/>
                <w:sz w:val="22"/>
                <w:szCs w:val="22"/>
                <w:color w:val="auto"/>
              </w:rPr>
              <w:t>40,778,835</w:t>
            </w: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32"/>
        </w:trPr>
        <w:tc>
          <w:tcPr>
            <w:tcW w:w="1100" w:type="dxa"/>
            <w:vAlign w:val="bottom"/>
            <w:gridSpan w:val="2"/>
          </w:tcPr>
          <w:p>
            <w:pPr>
              <w:jc w:val="center"/>
              <w:ind w:left="7"/>
              <w:spacing w:after="0"/>
              <w:rPr>
                <w:sz w:val="20"/>
                <w:szCs w:val="20"/>
                <w:color w:val="auto"/>
              </w:rPr>
            </w:pPr>
            <w:r>
              <w:rPr>
                <w:rFonts w:ascii="Arial" w:cs="Arial" w:eastAsia="Arial" w:hAnsi="Arial"/>
                <w:sz w:val="18"/>
                <w:szCs w:val="18"/>
                <w:b w:val="1"/>
                <w:bCs w:val="1"/>
                <w:color w:val="auto"/>
                <w:w w:val="86"/>
              </w:rPr>
              <w:t>Shares</w:t>
            </w:r>
          </w:p>
        </w:tc>
        <w:tc>
          <w:tcPr>
            <w:tcW w:w="180" w:type="dxa"/>
            <w:vAlign w:val="bottom"/>
          </w:tcPr>
          <w:p>
            <w:pPr>
              <w:jc w:val="right"/>
              <w:spacing w:after="0"/>
              <w:rPr>
                <w:sz w:val="20"/>
                <w:szCs w:val="20"/>
                <w:color w:val="auto"/>
              </w:rPr>
            </w:pPr>
            <w:r>
              <w:rPr>
                <w:rFonts w:ascii="Arial" w:cs="Arial" w:eastAsia="Arial" w:hAnsi="Arial"/>
                <w:sz w:val="18"/>
                <w:szCs w:val="18"/>
                <w:b w:val="1"/>
                <w:bCs w:val="1"/>
                <w:color w:val="auto"/>
              </w:rPr>
              <w:t>6</w:t>
            </w:r>
          </w:p>
        </w:tc>
        <w:tc>
          <w:tcPr>
            <w:tcW w:w="9620" w:type="dxa"/>
            <w:vAlign w:val="bottom"/>
          </w:tcPr>
          <w:p>
            <w:pPr>
              <w:ind w:left="140"/>
              <w:spacing w:after="0"/>
              <w:rPr>
                <w:sz w:val="20"/>
                <w:szCs w:val="20"/>
                <w:color w:val="auto"/>
              </w:rPr>
            </w:pPr>
            <w:r>
              <w:rPr>
                <w:rFonts w:ascii="Arial" w:cs="Arial" w:eastAsia="Arial" w:hAnsi="Arial"/>
                <w:sz w:val="18"/>
                <w:szCs w:val="18"/>
                <w:b w:val="1"/>
                <w:bCs w:val="1"/>
                <w:color w:val="auto"/>
              </w:rPr>
              <w:t>Shared Voting Power</w:t>
            </w:r>
          </w:p>
        </w:tc>
        <w:tc>
          <w:tcPr>
            <w:tcW w:w="0" w:type="dxa"/>
            <w:vAlign w:val="bottom"/>
          </w:tcPr>
          <w:p>
            <w:pPr>
              <w:spacing w:after="0"/>
              <w:rPr>
                <w:sz w:val="1"/>
                <w:szCs w:val="1"/>
                <w:color w:val="auto"/>
              </w:rPr>
            </w:pPr>
          </w:p>
        </w:tc>
      </w:tr>
      <w:tr>
        <w:trPr>
          <w:trHeight w:val="216"/>
        </w:trPr>
        <w:tc>
          <w:tcPr>
            <w:tcW w:w="1100" w:type="dxa"/>
            <w:vAlign w:val="bottom"/>
            <w:gridSpan w:val="2"/>
          </w:tcPr>
          <w:p>
            <w:pPr>
              <w:jc w:val="center"/>
              <w:ind w:left="27"/>
              <w:spacing w:after="0"/>
              <w:rPr>
                <w:sz w:val="20"/>
                <w:szCs w:val="20"/>
                <w:color w:val="auto"/>
              </w:rPr>
            </w:pPr>
            <w:r>
              <w:rPr>
                <w:rFonts w:ascii="Arial" w:cs="Arial" w:eastAsia="Arial" w:hAnsi="Arial"/>
                <w:sz w:val="18"/>
                <w:szCs w:val="18"/>
                <w:b w:val="1"/>
                <w:bCs w:val="1"/>
                <w:color w:val="auto"/>
                <w:w w:val="89"/>
              </w:rPr>
              <w:t>Beneficially</w:t>
            </w:r>
          </w:p>
        </w:tc>
        <w:tc>
          <w:tcPr>
            <w:tcW w:w="180" w:type="dxa"/>
            <w:vAlign w:val="bottom"/>
          </w:tcPr>
          <w:p>
            <w:pPr>
              <w:spacing w:after="0"/>
              <w:rPr>
                <w:sz w:val="18"/>
                <w:szCs w:val="18"/>
                <w:color w:val="auto"/>
              </w:rPr>
            </w:pPr>
          </w:p>
        </w:tc>
        <w:tc>
          <w:tcPr>
            <w:tcW w:w="9620" w:type="dxa"/>
            <w:vAlign w:val="bottom"/>
            <w:vMerge w:val="restart"/>
          </w:tcPr>
          <w:p>
            <w:pPr>
              <w:ind w:left="140"/>
              <w:spacing w:after="0"/>
              <w:rPr>
                <w:sz w:val="20"/>
                <w:szCs w:val="20"/>
                <w:color w:val="auto"/>
              </w:rPr>
            </w:pPr>
            <w:r>
              <w:rPr>
                <w:rFonts w:ascii="Arial" w:cs="Arial" w:eastAsia="Arial" w:hAnsi="Arial"/>
                <w:sz w:val="22"/>
                <w:szCs w:val="22"/>
                <w:color w:val="auto"/>
              </w:rPr>
              <w:t>0</w:t>
            </w:r>
          </w:p>
        </w:tc>
        <w:tc>
          <w:tcPr>
            <w:tcW w:w="0" w:type="dxa"/>
            <w:vAlign w:val="bottom"/>
          </w:tcPr>
          <w:p>
            <w:pPr>
              <w:spacing w:after="0"/>
              <w:rPr>
                <w:sz w:val="1"/>
                <w:szCs w:val="1"/>
                <w:color w:val="auto"/>
              </w:rPr>
            </w:pPr>
          </w:p>
        </w:tc>
      </w:tr>
      <w:tr>
        <w:trPr>
          <w:trHeight w:val="234"/>
        </w:trPr>
        <w:tc>
          <w:tcPr>
            <w:tcW w:w="11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0"/>
              </w:rPr>
              <w:t>Owned by</w:t>
            </w:r>
          </w:p>
        </w:tc>
        <w:tc>
          <w:tcPr>
            <w:tcW w:w="180" w:type="dxa"/>
            <w:vAlign w:val="bottom"/>
          </w:tcPr>
          <w:p>
            <w:pPr>
              <w:spacing w:after="0"/>
              <w:rPr>
                <w:sz w:val="20"/>
                <w:szCs w:val="20"/>
                <w:color w:val="auto"/>
              </w:rPr>
            </w:pPr>
          </w:p>
        </w:tc>
        <w:tc>
          <w:tcPr>
            <w:tcW w:w="962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1040" w:type="dxa"/>
            <w:vAlign w:val="bottom"/>
          </w:tcPr>
          <w:p>
            <w:pPr>
              <w:jc w:val="center"/>
              <w:ind w:left="47"/>
              <w:spacing w:after="0" w:line="177" w:lineRule="exact"/>
              <w:rPr>
                <w:sz w:val="20"/>
                <w:szCs w:val="20"/>
                <w:color w:val="auto"/>
              </w:rPr>
            </w:pPr>
            <w:r>
              <w:rPr>
                <w:rFonts w:ascii="Arial" w:cs="Arial" w:eastAsia="Arial" w:hAnsi="Arial"/>
                <w:sz w:val="18"/>
                <w:szCs w:val="18"/>
                <w:b w:val="1"/>
                <w:bCs w:val="1"/>
                <w:color w:val="auto"/>
                <w:w w:val="88"/>
              </w:rPr>
              <w:t>Each</w:t>
            </w:r>
          </w:p>
        </w:tc>
        <w:tc>
          <w:tcPr>
            <w:tcW w:w="60" w:type="dxa"/>
            <w:vAlign w:val="bottom"/>
            <w:tcBorders>
              <w:top w:val="single" w:sz="8" w:color="auto"/>
            </w:tcBorders>
          </w:tcPr>
          <w:p>
            <w:pPr>
              <w:spacing w:after="0"/>
              <w:rPr>
                <w:sz w:val="15"/>
                <w:szCs w:val="15"/>
                <w:color w:val="auto"/>
              </w:rPr>
            </w:pPr>
          </w:p>
        </w:tc>
        <w:tc>
          <w:tcPr>
            <w:tcW w:w="180" w:type="dxa"/>
            <w:vAlign w:val="bottom"/>
            <w:tcBorders>
              <w:top w:val="single" w:sz="8" w:color="auto"/>
            </w:tcBorders>
          </w:tcPr>
          <w:p>
            <w:pPr>
              <w:jc w:val="right"/>
              <w:spacing w:after="0" w:line="177" w:lineRule="exact"/>
              <w:rPr>
                <w:sz w:val="20"/>
                <w:szCs w:val="20"/>
                <w:color w:val="auto"/>
              </w:rPr>
            </w:pPr>
            <w:r>
              <w:rPr>
                <w:rFonts w:ascii="Arial" w:cs="Arial" w:eastAsia="Arial" w:hAnsi="Arial"/>
                <w:sz w:val="18"/>
                <w:szCs w:val="18"/>
                <w:b w:val="1"/>
                <w:bCs w:val="1"/>
                <w:color w:val="auto"/>
              </w:rPr>
              <w:t>7</w:t>
            </w:r>
          </w:p>
        </w:tc>
        <w:tc>
          <w:tcPr>
            <w:tcW w:w="9620" w:type="dxa"/>
            <w:vAlign w:val="bottom"/>
            <w:tcBorders>
              <w:top w:val="single" w:sz="8" w:color="auto"/>
            </w:tcBorders>
          </w:tcPr>
          <w:p>
            <w:pPr>
              <w:ind w:left="140"/>
              <w:spacing w:after="0" w:line="177" w:lineRule="exact"/>
              <w:rPr>
                <w:sz w:val="20"/>
                <w:szCs w:val="20"/>
                <w:color w:val="auto"/>
              </w:rPr>
            </w:pPr>
            <w:r>
              <w:rPr>
                <w:rFonts w:ascii="Arial" w:cs="Arial" w:eastAsia="Arial" w:hAnsi="Arial"/>
                <w:sz w:val="18"/>
                <w:szCs w:val="18"/>
                <w:b w:val="1"/>
                <w:bCs w:val="1"/>
                <w:color w:val="auto"/>
              </w:rPr>
              <w:t>Sole Dispositive Power</w:t>
            </w:r>
          </w:p>
        </w:tc>
        <w:tc>
          <w:tcPr>
            <w:tcW w:w="0" w:type="dxa"/>
            <w:vAlign w:val="bottom"/>
          </w:tcPr>
          <w:p>
            <w:pPr>
              <w:spacing w:after="0"/>
              <w:rPr>
                <w:sz w:val="1"/>
                <w:szCs w:val="1"/>
                <w:color w:val="auto"/>
              </w:rPr>
            </w:pPr>
          </w:p>
        </w:tc>
      </w:tr>
      <w:tr>
        <w:trPr>
          <w:trHeight w:val="216"/>
        </w:trPr>
        <w:tc>
          <w:tcPr>
            <w:tcW w:w="1100" w:type="dxa"/>
            <w:vAlign w:val="bottom"/>
            <w:gridSpan w:val="2"/>
          </w:tcPr>
          <w:p>
            <w:pPr>
              <w:jc w:val="center"/>
              <w:spacing w:after="0"/>
              <w:rPr>
                <w:sz w:val="20"/>
                <w:szCs w:val="20"/>
                <w:color w:val="auto"/>
              </w:rPr>
            </w:pPr>
            <w:r>
              <w:rPr>
                <w:rFonts w:ascii="Arial" w:cs="Arial" w:eastAsia="Arial" w:hAnsi="Arial"/>
                <w:sz w:val="18"/>
                <w:szCs w:val="18"/>
                <w:b w:val="1"/>
                <w:bCs w:val="1"/>
                <w:color w:val="auto"/>
                <w:w w:val="91"/>
              </w:rPr>
              <w:t>Reporting</w:t>
            </w:r>
          </w:p>
        </w:tc>
        <w:tc>
          <w:tcPr>
            <w:tcW w:w="180" w:type="dxa"/>
            <w:vAlign w:val="bottom"/>
          </w:tcPr>
          <w:p>
            <w:pPr>
              <w:spacing w:after="0"/>
              <w:rPr>
                <w:sz w:val="18"/>
                <w:szCs w:val="18"/>
                <w:color w:val="auto"/>
              </w:rPr>
            </w:pPr>
          </w:p>
        </w:tc>
        <w:tc>
          <w:tcPr>
            <w:tcW w:w="96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1"/>
        </w:trPr>
        <w:tc>
          <w:tcPr>
            <w:tcW w:w="1100" w:type="dxa"/>
            <w:vAlign w:val="bottom"/>
            <w:gridSpan w:val="2"/>
          </w:tcPr>
          <w:p>
            <w:pPr>
              <w:jc w:val="center"/>
              <w:spacing w:after="0"/>
              <w:rPr>
                <w:sz w:val="20"/>
                <w:szCs w:val="20"/>
                <w:color w:val="auto"/>
              </w:rPr>
            </w:pPr>
            <w:r>
              <w:rPr>
                <w:rFonts w:ascii="Arial" w:cs="Arial" w:eastAsia="Arial" w:hAnsi="Arial"/>
                <w:sz w:val="18"/>
                <w:szCs w:val="18"/>
                <w:b w:val="1"/>
                <w:bCs w:val="1"/>
                <w:color w:val="auto"/>
                <w:w w:val="88"/>
              </w:rPr>
              <w:t>Person</w:t>
            </w:r>
          </w:p>
        </w:tc>
        <w:tc>
          <w:tcPr>
            <w:tcW w:w="180" w:type="dxa"/>
            <w:vAlign w:val="bottom"/>
          </w:tcPr>
          <w:p>
            <w:pPr>
              <w:spacing w:after="0"/>
              <w:rPr>
                <w:sz w:val="19"/>
                <w:szCs w:val="19"/>
                <w:color w:val="auto"/>
              </w:rPr>
            </w:pPr>
          </w:p>
        </w:tc>
        <w:tc>
          <w:tcPr>
            <w:tcW w:w="9620" w:type="dxa"/>
            <w:vAlign w:val="bottom"/>
          </w:tcPr>
          <w:p>
            <w:pPr>
              <w:ind w:left="140"/>
              <w:spacing w:after="0" w:line="221" w:lineRule="exact"/>
              <w:rPr>
                <w:sz w:val="20"/>
                <w:szCs w:val="20"/>
                <w:color w:val="auto"/>
              </w:rPr>
            </w:pPr>
            <w:r>
              <w:rPr>
                <w:rFonts w:ascii="Arial" w:cs="Arial" w:eastAsia="Arial" w:hAnsi="Arial"/>
                <w:sz w:val="22"/>
                <w:szCs w:val="22"/>
                <w:color w:val="auto"/>
              </w:rPr>
              <w:t>40,778,835</w:t>
            </w: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68"/>
        </w:trPr>
        <w:tc>
          <w:tcPr>
            <w:tcW w:w="1040" w:type="dxa"/>
            <w:vAlign w:val="bottom"/>
            <w:vMerge w:val="restart"/>
          </w:tcPr>
          <w:p>
            <w:pPr>
              <w:jc w:val="center"/>
              <w:ind w:left="67"/>
              <w:spacing w:after="0"/>
              <w:rPr>
                <w:sz w:val="20"/>
                <w:szCs w:val="20"/>
                <w:color w:val="auto"/>
              </w:rPr>
            </w:pPr>
            <w:r>
              <w:rPr>
                <w:rFonts w:ascii="Arial" w:cs="Arial" w:eastAsia="Arial" w:hAnsi="Arial"/>
                <w:sz w:val="18"/>
                <w:szCs w:val="18"/>
                <w:b w:val="1"/>
                <w:bCs w:val="1"/>
                <w:color w:val="auto"/>
                <w:w w:val="97"/>
              </w:rPr>
              <w:t>With:</w:t>
            </w:r>
          </w:p>
        </w:tc>
        <w:tc>
          <w:tcPr>
            <w:tcW w:w="60" w:type="dxa"/>
            <w:vAlign w:val="bottom"/>
            <w:tcBorders>
              <w:bottom w:val="single" w:sz="8" w:color="auto"/>
            </w:tcBorders>
          </w:tcPr>
          <w:p>
            <w:pPr>
              <w:spacing w:after="0"/>
              <w:rPr>
                <w:sz w:val="5"/>
                <w:szCs w:val="5"/>
                <w:color w:val="auto"/>
              </w:rPr>
            </w:pPr>
          </w:p>
        </w:tc>
        <w:tc>
          <w:tcPr>
            <w:tcW w:w="180" w:type="dxa"/>
            <w:vAlign w:val="bottom"/>
            <w:tcBorders>
              <w:bottom w:val="single" w:sz="8" w:color="auto"/>
            </w:tcBorders>
          </w:tcPr>
          <w:p>
            <w:pPr>
              <w:spacing w:after="0"/>
              <w:rPr>
                <w:sz w:val="5"/>
                <w:szCs w:val="5"/>
                <w:color w:val="auto"/>
              </w:rPr>
            </w:pPr>
          </w:p>
        </w:tc>
        <w:tc>
          <w:tcPr>
            <w:tcW w:w="962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7"/>
        </w:trPr>
        <w:tc>
          <w:tcPr>
            <w:tcW w:w="1040" w:type="dxa"/>
            <w:vAlign w:val="bottom"/>
            <w:vMerge w:val="continue"/>
          </w:tcPr>
          <w:p>
            <w:pPr>
              <w:spacing w:after="0"/>
              <w:rPr>
                <w:sz w:val="12"/>
                <w:szCs w:val="12"/>
                <w:color w:val="auto"/>
              </w:rPr>
            </w:pPr>
          </w:p>
        </w:tc>
        <w:tc>
          <w:tcPr>
            <w:tcW w:w="60" w:type="dxa"/>
            <w:vAlign w:val="bottom"/>
          </w:tcPr>
          <w:p>
            <w:pPr>
              <w:spacing w:after="0"/>
              <w:rPr>
                <w:sz w:val="12"/>
                <w:szCs w:val="12"/>
                <w:color w:val="auto"/>
              </w:rPr>
            </w:pPr>
          </w:p>
        </w:tc>
        <w:tc>
          <w:tcPr>
            <w:tcW w:w="180" w:type="dxa"/>
            <w:vAlign w:val="bottom"/>
            <w:vMerge w:val="restart"/>
          </w:tcPr>
          <w:p>
            <w:pPr>
              <w:jc w:val="right"/>
              <w:spacing w:after="0"/>
              <w:rPr>
                <w:sz w:val="20"/>
                <w:szCs w:val="20"/>
                <w:color w:val="auto"/>
              </w:rPr>
            </w:pPr>
            <w:r>
              <w:rPr>
                <w:rFonts w:ascii="Arial" w:cs="Arial" w:eastAsia="Arial" w:hAnsi="Arial"/>
                <w:sz w:val="18"/>
                <w:szCs w:val="18"/>
                <w:b w:val="1"/>
                <w:bCs w:val="1"/>
                <w:color w:val="auto"/>
              </w:rPr>
              <w:t>8</w:t>
            </w:r>
          </w:p>
        </w:tc>
        <w:tc>
          <w:tcPr>
            <w:tcW w:w="9620" w:type="dxa"/>
            <w:vAlign w:val="bottom"/>
            <w:vMerge w:val="restart"/>
          </w:tcPr>
          <w:p>
            <w:pPr>
              <w:ind w:left="140"/>
              <w:spacing w:after="0"/>
              <w:rPr>
                <w:sz w:val="20"/>
                <w:szCs w:val="20"/>
                <w:color w:val="auto"/>
              </w:rPr>
            </w:pPr>
            <w:r>
              <w:rPr>
                <w:rFonts w:ascii="Arial" w:cs="Arial" w:eastAsia="Arial" w:hAnsi="Arial"/>
                <w:sz w:val="18"/>
                <w:szCs w:val="18"/>
                <w:b w:val="1"/>
                <w:bCs w:val="1"/>
                <w:color w:val="auto"/>
              </w:rPr>
              <w:t>Shared Dispositive Power</w:t>
            </w:r>
          </w:p>
        </w:tc>
        <w:tc>
          <w:tcPr>
            <w:tcW w:w="0" w:type="dxa"/>
            <w:vAlign w:val="bottom"/>
          </w:tcPr>
          <w:p>
            <w:pPr>
              <w:spacing w:after="0"/>
              <w:rPr>
                <w:sz w:val="1"/>
                <w:szCs w:val="1"/>
                <w:color w:val="auto"/>
              </w:rPr>
            </w:pPr>
          </w:p>
        </w:tc>
      </w:tr>
      <w:tr>
        <w:trPr>
          <w:trHeight w:val="81"/>
        </w:trPr>
        <w:tc>
          <w:tcPr>
            <w:tcW w:w="1040" w:type="dxa"/>
            <w:vAlign w:val="bottom"/>
          </w:tcPr>
          <w:p>
            <w:pPr>
              <w:spacing w:after="0"/>
              <w:rPr>
                <w:sz w:val="7"/>
                <w:szCs w:val="7"/>
                <w:color w:val="auto"/>
              </w:rPr>
            </w:pPr>
          </w:p>
        </w:tc>
        <w:tc>
          <w:tcPr>
            <w:tcW w:w="60" w:type="dxa"/>
            <w:vAlign w:val="bottom"/>
          </w:tcPr>
          <w:p>
            <w:pPr>
              <w:spacing w:after="0"/>
              <w:rPr>
                <w:sz w:val="7"/>
                <w:szCs w:val="7"/>
                <w:color w:val="auto"/>
              </w:rPr>
            </w:pPr>
          </w:p>
        </w:tc>
        <w:tc>
          <w:tcPr>
            <w:tcW w:w="180" w:type="dxa"/>
            <w:vAlign w:val="bottom"/>
            <w:vMerge w:val="continue"/>
          </w:tcPr>
          <w:p>
            <w:pPr>
              <w:spacing w:after="0"/>
              <w:rPr>
                <w:sz w:val="7"/>
                <w:szCs w:val="7"/>
                <w:color w:val="auto"/>
              </w:rPr>
            </w:pPr>
          </w:p>
        </w:tc>
        <w:tc>
          <w:tcPr>
            <w:tcW w:w="96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176" w:lineRule="exact"/>
        <w:rPr>
          <w:sz w:val="20"/>
          <w:szCs w:val="20"/>
          <w:color w:val="auto"/>
        </w:rPr>
      </w:pPr>
    </w:p>
    <w:p>
      <w:pPr>
        <w:ind w:left="1424"/>
        <w:spacing w:after="0"/>
        <w:rPr>
          <w:sz w:val="20"/>
          <w:szCs w:val="20"/>
          <w:color w:val="auto"/>
        </w:rPr>
      </w:pPr>
      <w:r>
        <w:rPr>
          <w:rFonts w:ascii="Arial" w:cs="Arial" w:eastAsia="Arial" w:hAnsi="Arial"/>
          <w:sz w:val="22"/>
          <w:szCs w:val="22"/>
          <w:color w:val="auto"/>
        </w:rPr>
        <w:t>0</w:t>
      </w:r>
    </w:p>
    <w:p>
      <w:pPr>
        <w:spacing w:after="0" w:line="21"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9</w:t>
      </w:r>
      <w:r>
        <w:rPr>
          <w:sz w:val="20"/>
          <w:szCs w:val="20"/>
          <w:color w:val="auto"/>
        </w:rPr>
        <w:tab/>
      </w:r>
      <w:r>
        <w:rPr>
          <w:rFonts w:ascii="Arial" w:cs="Arial" w:eastAsia="Arial" w:hAnsi="Arial"/>
          <w:sz w:val="16"/>
          <w:szCs w:val="16"/>
          <w:b w:val="1"/>
          <w:bCs w:val="1"/>
          <w:color w:val="auto"/>
        </w:rPr>
        <w:t>Aggregate Amount Beneficially Owned by Each Reporting Person</w:t>
      </w:r>
    </w:p>
    <w:p>
      <w:pPr>
        <w:spacing w:after="0" w:line="221" w:lineRule="exact"/>
        <w:rPr>
          <w:sz w:val="20"/>
          <w:szCs w:val="20"/>
          <w:color w:val="auto"/>
        </w:rPr>
      </w:pPr>
    </w:p>
    <w:p>
      <w:pPr>
        <w:ind w:left="484"/>
        <w:spacing w:after="0"/>
        <w:rPr>
          <w:sz w:val="20"/>
          <w:szCs w:val="20"/>
          <w:color w:val="auto"/>
        </w:rPr>
      </w:pPr>
      <w:r>
        <w:rPr>
          <w:rFonts w:ascii="Arial" w:cs="Arial" w:eastAsia="Arial" w:hAnsi="Arial"/>
          <w:sz w:val="22"/>
          <w:szCs w:val="22"/>
          <w:color w:val="auto"/>
        </w:rPr>
        <w:t>40,778,835</w:t>
      </w:r>
      <w:r>
        <w:rPr>
          <w:rFonts w:ascii="Arial" w:cs="Arial" w:eastAsia="Arial" w:hAnsi="Arial"/>
          <w:sz w:val="18"/>
          <w:szCs w:val="18"/>
          <w:color w:val="auto"/>
        </w:rPr>
        <w:t>(1)</w:t>
      </w:r>
    </w:p>
    <w:p>
      <w:pPr>
        <w:spacing w:after="0" w:line="21"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10</w:t>
      </w:r>
      <w:r>
        <w:rPr>
          <w:sz w:val="20"/>
          <w:szCs w:val="20"/>
          <w:color w:val="auto"/>
        </w:rPr>
        <w:tab/>
      </w:r>
      <w:r>
        <w:rPr>
          <w:rFonts w:ascii="Arial" w:cs="Arial" w:eastAsia="Arial" w:hAnsi="Arial"/>
          <w:sz w:val="16"/>
          <w:szCs w:val="16"/>
          <w:b w:val="1"/>
          <w:bCs w:val="1"/>
          <w:color w:val="auto"/>
        </w:rPr>
        <w:t>Check if the Aggregate Amount in Row (9) Excludes Certain Shares (See Instructions)</w:t>
      </w:r>
    </w:p>
    <w:p>
      <w:pPr>
        <w:spacing w:after="0" w:line="194" w:lineRule="exact"/>
        <w:rPr>
          <w:sz w:val="20"/>
          <w:szCs w:val="20"/>
          <w:color w:val="auto"/>
        </w:rPr>
      </w:pPr>
    </w:p>
    <w:p>
      <w:pPr>
        <w:ind w:left="484"/>
        <w:spacing w:after="0" w:line="221" w:lineRule="exact"/>
        <w:rPr>
          <w:sz w:val="20"/>
          <w:szCs w:val="20"/>
          <w:color w:val="auto"/>
        </w:rPr>
      </w:pPr>
      <w:r>
        <w:rPr>
          <w:rFonts w:ascii="MS PGothic" w:cs="MS PGothic" w:eastAsia="MS PGothic" w:hAnsi="MS PGothic"/>
          <w:sz w:val="22"/>
          <w:szCs w:val="22"/>
          <w:color w:val="auto"/>
        </w:rPr>
        <w:t>☐</w:t>
      </w:r>
    </w:p>
    <w:p>
      <w:pPr>
        <w:spacing w:after="0" w:line="113"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11</w:t>
      </w:r>
      <w:r>
        <w:rPr>
          <w:sz w:val="20"/>
          <w:szCs w:val="20"/>
          <w:color w:val="auto"/>
        </w:rPr>
        <w:tab/>
      </w:r>
      <w:r>
        <w:rPr>
          <w:rFonts w:ascii="Arial" w:cs="Arial" w:eastAsia="Arial" w:hAnsi="Arial"/>
          <w:sz w:val="16"/>
          <w:szCs w:val="16"/>
          <w:b w:val="1"/>
          <w:bCs w:val="1"/>
          <w:color w:val="auto"/>
        </w:rPr>
        <w:t>Percent of Class Represented by Amount in Row (9)</w:t>
      </w:r>
    </w:p>
    <w:p>
      <w:pPr>
        <w:spacing w:after="0" w:line="202" w:lineRule="exact"/>
        <w:rPr>
          <w:sz w:val="20"/>
          <w:szCs w:val="20"/>
          <w:color w:val="auto"/>
        </w:rPr>
      </w:pPr>
    </w:p>
    <w:p>
      <w:pPr>
        <w:ind w:left="484" w:right="160"/>
        <w:spacing w:after="0"/>
        <w:rPr>
          <w:sz w:val="20"/>
          <w:szCs w:val="20"/>
          <w:color w:val="auto"/>
        </w:rPr>
      </w:pPr>
      <w:r>
        <w:rPr>
          <w:rFonts w:ascii="Arial" w:cs="Arial" w:eastAsia="Arial" w:hAnsi="Arial"/>
          <w:sz w:val="22"/>
          <w:szCs w:val="22"/>
          <w:color w:val="auto"/>
        </w:rPr>
        <w:t>15.1% of Class A ordinary shares assuming conversion of the Class B ordinary shares held by the reporting person only into Class A ordinary shares.</w:t>
      </w:r>
      <w:r>
        <w:rPr>
          <w:rFonts w:ascii="Arial" w:cs="Arial" w:eastAsia="Arial" w:hAnsi="Arial"/>
          <w:sz w:val="18"/>
          <w:szCs w:val="18"/>
          <w:color w:val="auto"/>
        </w:rPr>
        <w:t>(2)</w:t>
      </w:r>
      <w:r>
        <w:rPr>
          <w:rFonts w:ascii="Arial" w:cs="Arial" w:eastAsia="Arial" w:hAnsi="Arial"/>
          <w:sz w:val="22"/>
          <w:szCs w:val="22"/>
          <w:color w:val="auto"/>
        </w:rPr>
        <w:t xml:space="preserve"> The voting power of the shares beneficially owned by the reporting person represent 45.4% of the total outstanding voting power.</w:t>
      </w:r>
      <w:r>
        <w:rPr>
          <w:rFonts w:ascii="Arial" w:cs="Arial" w:eastAsia="Arial" w:hAnsi="Arial"/>
          <w:sz w:val="18"/>
          <w:szCs w:val="18"/>
          <w:color w:val="auto"/>
        </w:rPr>
        <w:t>(3)</w:t>
      </w:r>
    </w:p>
    <w:p>
      <w:pPr>
        <w:spacing w:after="0" w:line="2"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12</w:t>
      </w:r>
      <w:r>
        <w:rPr>
          <w:sz w:val="20"/>
          <w:szCs w:val="20"/>
          <w:color w:val="auto"/>
        </w:rPr>
        <w:tab/>
      </w:r>
      <w:r>
        <w:rPr>
          <w:rFonts w:ascii="Arial" w:cs="Arial" w:eastAsia="Arial" w:hAnsi="Arial"/>
          <w:sz w:val="16"/>
          <w:szCs w:val="16"/>
          <w:b w:val="1"/>
          <w:bCs w:val="1"/>
          <w:color w:val="auto"/>
        </w:rPr>
        <w:t>Type of Reporting Person (See Instructions)</w:t>
      </w:r>
    </w:p>
    <w:p>
      <w:pPr>
        <w:spacing w:after="0" w:line="221" w:lineRule="exact"/>
        <w:rPr>
          <w:sz w:val="20"/>
          <w:szCs w:val="20"/>
          <w:color w:val="auto"/>
        </w:rPr>
      </w:pPr>
    </w:p>
    <w:p>
      <w:pPr>
        <w:ind w:left="484"/>
        <w:spacing w:after="0"/>
        <w:rPr>
          <w:sz w:val="20"/>
          <w:szCs w:val="20"/>
          <w:color w:val="auto"/>
        </w:rPr>
      </w:pPr>
      <w:r>
        <w:rPr>
          <w:rFonts w:ascii="Arial" w:cs="Arial" w:eastAsia="Arial" w:hAnsi="Arial"/>
          <w:sz w:val="22"/>
          <w:szCs w:val="22"/>
          <w:color w:val="auto"/>
        </w:rPr>
        <w:t>IN</w:t>
      </w:r>
    </w:p>
    <w:p>
      <w:pPr>
        <w:spacing w:after="0" w:line="240" w:lineRule="exact"/>
        <w:rPr>
          <w:sz w:val="20"/>
          <w:szCs w:val="20"/>
          <w:color w:val="auto"/>
        </w:rPr>
      </w:pPr>
    </w:p>
    <w:p>
      <w:pPr>
        <w:ind w:left="424" w:hanging="424"/>
        <w:spacing w:after="0"/>
        <w:tabs>
          <w:tab w:leader="none" w:pos="424" w:val="left"/>
        </w:tabs>
        <w:numPr>
          <w:ilvl w:val="0"/>
          <w:numId w:val="4"/>
        </w:numPr>
        <w:rPr>
          <w:rFonts w:ascii="Arial" w:cs="Arial" w:eastAsia="Arial" w:hAnsi="Arial"/>
          <w:sz w:val="17"/>
          <w:szCs w:val="17"/>
          <w:color w:val="auto"/>
        </w:rPr>
      </w:pPr>
      <w:r>
        <w:rPr>
          <w:rFonts w:ascii="Arial" w:cs="Arial" w:eastAsia="Arial" w:hAnsi="Arial"/>
          <w:sz w:val="17"/>
          <w:szCs w:val="17"/>
          <w:color w:val="auto"/>
        </w:rPr>
        <w:t>Represents (i) 38,275,787 Class B ordinary shares held by Eagle Central Holding Limited and (ii) 2,503,048 Class A ordinary shares that</w:t>
      </w:r>
    </w:p>
    <w:p>
      <w:pPr>
        <w:spacing w:after="0" w:line="34" w:lineRule="exact"/>
        <w:rPr>
          <w:rFonts w:ascii="Arial" w:cs="Arial" w:eastAsia="Arial" w:hAnsi="Arial"/>
          <w:sz w:val="17"/>
          <w:szCs w:val="17"/>
          <w:color w:val="auto"/>
        </w:rPr>
      </w:pPr>
    </w:p>
    <w:p>
      <w:pPr>
        <w:ind w:left="424" w:right="120"/>
        <w:spacing w:after="0" w:line="250" w:lineRule="auto"/>
        <w:rPr>
          <w:rFonts w:ascii="Arial" w:cs="Arial" w:eastAsia="Arial" w:hAnsi="Arial"/>
          <w:sz w:val="17"/>
          <w:szCs w:val="17"/>
          <w:color w:val="auto"/>
        </w:rPr>
      </w:pPr>
      <w:r>
        <w:rPr>
          <w:rFonts w:ascii="Arial" w:cs="Arial" w:eastAsia="Arial" w:hAnsi="Arial"/>
          <w:sz w:val="18"/>
          <w:szCs w:val="18"/>
          <w:color w:val="auto"/>
        </w:rPr>
        <w:t>Mr. Xiaojun Zhang has the right to acquire within 60 days after December 31, 2021 pursuant to the terms of the options granted to him under the Issuer’s share incentive plan.</w:t>
      </w:r>
    </w:p>
    <w:p>
      <w:pPr>
        <w:ind w:left="424" w:right="60" w:hanging="424"/>
        <w:spacing w:after="0" w:line="250" w:lineRule="auto"/>
        <w:tabs>
          <w:tab w:leader="none" w:pos="424" w:val="left"/>
        </w:tabs>
        <w:numPr>
          <w:ilvl w:val="0"/>
          <w:numId w:val="4"/>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(i) 229,831,213 Class A ordinary shares of the Issuer issued and outstanding as of December 31, 2021 and (ii) 38,275,787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80" w:hanging="424"/>
        <w:spacing w:after="0" w:line="292" w:lineRule="auto"/>
        <w:tabs>
          <w:tab w:leader="none" w:pos="424" w:val="left"/>
        </w:tabs>
        <w:numPr>
          <w:ilvl w:val="0"/>
          <w:numId w:val="4"/>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54" w:lineRule="exact"/>
        <w:rPr>
          <w:rFonts w:ascii="Arial" w:cs="Arial" w:eastAsia="Arial" w:hAnsi="Arial"/>
          <w:sz w:val="16"/>
          <w:szCs w:val="16"/>
          <w:color w:val="auto"/>
        </w:rPr>
      </w:pPr>
    </w:p>
    <w:p>
      <w:pPr>
        <w:ind w:left="444"/>
        <w:spacing w:after="0" w:line="259" w:lineRule="auto"/>
        <w:rPr>
          <w:rFonts w:ascii="Arial" w:cs="Arial" w:eastAsia="Arial" w:hAnsi="Arial"/>
          <w:sz w:val="16"/>
          <w:szCs w:val="16"/>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86.7% of the aggregate voting power of the Issuer’s issued and outstanding share capital.</w:t>
      </w:r>
    </w:p>
    <w:p>
      <w:pPr>
        <w:spacing w:after="0" w:line="119" w:lineRule="exact"/>
        <w:rPr>
          <w:sz w:val="20"/>
          <w:szCs w:val="20"/>
          <w:color w:val="auto"/>
        </w:rPr>
      </w:pPr>
    </w:p>
    <w:p>
      <w:pPr>
        <w:jc w:val="center"/>
        <w:ind w:right="-23"/>
        <w:spacing w:after="0"/>
        <w:rPr>
          <w:sz w:val="20"/>
          <w:szCs w:val="20"/>
          <w:color w:val="auto"/>
        </w:rPr>
      </w:pPr>
      <w:r>
        <w:rPr>
          <w:rFonts w:ascii="Arial" w:cs="Arial" w:eastAsia="Arial" w:hAnsi="Arial"/>
          <w:sz w:val="18"/>
          <w:szCs w:val="18"/>
          <w:color w:val="auto"/>
        </w:rPr>
        <w:t>Page 2 of 8</w:t>
      </w:r>
    </w:p>
    <w:p>
      <w:pPr>
        <w:sectPr>
          <w:pgSz w:w="11900" w:h="16838" w:orient="portrait"/>
          <w:cols w:equalWidth="0" w:num="1">
            <w:col w:w="10984"/>
          </w:cols>
          <w:pgMar w:left="436" w:top="270" w:right="479" w:bottom="1440" w:gutter="0" w:footer="0" w:header="0"/>
        </w:sectPr>
      </w:pPr>
    </w:p>
    <w:bookmarkStart w:id="2" w:name="page3"/>
    <w:bookmarkEnd w:id="2"/>
    <w:p>
      <w:pPr>
        <w:ind w:left="244"/>
        <w:spacing w:after="0"/>
        <w:tabs>
          <w:tab w:leader="none" w:pos="464"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74865" cy="38100"/>
                    </a:xfrm>
                    <a:prstGeom prst="rect">
                      <a:avLst/>
                    </a:prstGeom>
                    <a:noFill/>
                  </pic:spPr>
                </pic:pic>
              </a:graphicData>
            </a:graphic>
          </wp:anchor>
        </w:drawing>
        <w:t>1</w:t>
      </w:r>
      <w:r>
        <w:rPr>
          <w:sz w:val="20"/>
          <w:szCs w:val="20"/>
          <w:color w:val="auto"/>
        </w:rPr>
        <w:tab/>
      </w:r>
      <w:r>
        <w:rPr>
          <w:rFonts w:ascii="Arial" w:cs="Arial" w:eastAsia="Arial" w:hAnsi="Arial"/>
          <w:sz w:val="15"/>
          <w:szCs w:val="15"/>
          <w:b w:val="1"/>
          <w:bCs w:val="1"/>
          <w:color w:val="auto"/>
        </w:rPr>
        <w:t>Names of Reporting Persons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-127635</wp:posOffset>
            </wp:positionV>
            <wp:extent cx="6926580" cy="57092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6926580" cy="5709285"/>
                    </a:xfrm>
                    <a:prstGeom prst="rect">
                      <a:avLst/>
                    </a:prstGeom>
                    <a:noFill/>
                  </pic:spPr>
                </pic:pic>
              </a:graphicData>
            </a:graphic>
          </wp:anchor>
        </w:drawing>
      </w:r>
    </w:p>
    <w:p>
      <w:pPr>
        <w:spacing w:after="0" w:line="229" w:lineRule="exact"/>
        <w:rPr>
          <w:sz w:val="20"/>
          <w:szCs w:val="20"/>
          <w:color w:val="auto"/>
        </w:rPr>
      </w:pPr>
    </w:p>
    <w:p>
      <w:pPr>
        <w:ind w:left="484"/>
        <w:spacing w:after="0"/>
        <w:rPr>
          <w:sz w:val="20"/>
          <w:szCs w:val="20"/>
          <w:color w:val="auto"/>
        </w:rPr>
      </w:pPr>
      <w:r>
        <w:rPr>
          <w:rFonts w:ascii="Arial" w:cs="Arial" w:eastAsia="Arial" w:hAnsi="Arial"/>
          <w:sz w:val="22"/>
          <w:szCs w:val="22"/>
          <w:color w:val="auto"/>
        </w:rPr>
        <w:t>Eagle Central Holding Limited</w:t>
      </w:r>
    </w:p>
    <w:p>
      <w:pPr>
        <w:spacing w:after="0" w:line="21"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2</w:t>
      </w:r>
      <w:r>
        <w:rPr>
          <w:sz w:val="20"/>
          <w:szCs w:val="20"/>
          <w:color w:val="auto"/>
        </w:rPr>
        <w:tab/>
      </w:r>
      <w:r>
        <w:rPr>
          <w:rFonts w:ascii="Arial" w:cs="Arial" w:eastAsia="Arial" w:hAnsi="Arial"/>
          <w:sz w:val="16"/>
          <w:szCs w:val="16"/>
          <w:b w:val="1"/>
          <w:bCs w:val="1"/>
          <w:color w:val="auto"/>
        </w:rPr>
        <w:t>Check the Appropriate Box if a Member of a Group (See Instructions)</w:t>
      </w:r>
    </w:p>
    <w:p>
      <w:pPr>
        <w:spacing w:after="0" w:line="26" w:lineRule="exact"/>
        <w:rPr>
          <w:sz w:val="20"/>
          <w:szCs w:val="20"/>
          <w:color w:val="auto"/>
        </w:rPr>
      </w:pPr>
    </w:p>
    <w:p>
      <w:pPr>
        <w:ind w:left="484"/>
        <w:spacing w:after="0" w:line="207" w:lineRule="exact"/>
        <w:tabs>
          <w:tab w:leader="none" w:pos="1284" w:val="left"/>
        </w:tabs>
        <w:rPr>
          <w:sz w:val="20"/>
          <w:szCs w:val="20"/>
          <w:color w:val="auto"/>
        </w:rPr>
      </w:pPr>
      <w:r>
        <w:rPr>
          <w:rFonts w:ascii="Arial" w:cs="Arial" w:eastAsia="Arial" w:hAnsi="Arial"/>
          <w:sz w:val="18"/>
          <w:szCs w:val="18"/>
          <w:color w:val="auto"/>
        </w:rPr>
        <w:t xml:space="preserve">(a)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 xml:space="preserve">(b) </w:t>
      </w:r>
      <w:r>
        <w:rPr>
          <w:rFonts w:ascii="MS PGothic" w:cs="MS PGothic" w:eastAsia="MS PGothic" w:hAnsi="MS PGothic"/>
          <w:sz w:val="18"/>
          <w:szCs w:val="18"/>
          <w:color w:val="auto"/>
        </w:rPr>
        <w:t>☐</w:t>
      </w:r>
    </w:p>
    <w:p>
      <w:pPr>
        <w:spacing w:after="0" w:line="261"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3</w:t>
      </w:r>
      <w:r>
        <w:rPr>
          <w:sz w:val="20"/>
          <w:szCs w:val="20"/>
          <w:color w:val="auto"/>
        </w:rPr>
        <w:tab/>
      </w:r>
      <w:r>
        <w:rPr>
          <w:rFonts w:ascii="Arial" w:cs="Arial" w:eastAsia="Arial" w:hAnsi="Arial"/>
          <w:sz w:val="16"/>
          <w:szCs w:val="16"/>
          <w:b w:val="1"/>
          <w:bCs w:val="1"/>
          <w:color w:val="auto"/>
        </w:rPr>
        <w:t>SEC Use Only</w:t>
      </w:r>
    </w:p>
    <w:p>
      <w:pPr>
        <w:spacing w:after="0" w:line="279"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4</w:t>
      </w:r>
      <w:r>
        <w:rPr>
          <w:sz w:val="20"/>
          <w:szCs w:val="20"/>
          <w:color w:val="auto"/>
        </w:rPr>
        <w:tab/>
      </w:r>
      <w:r>
        <w:rPr>
          <w:rFonts w:ascii="Arial" w:cs="Arial" w:eastAsia="Arial" w:hAnsi="Arial"/>
          <w:sz w:val="16"/>
          <w:szCs w:val="16"/>
          <w:b w:val="1"/>
          <w:bCs w:val="1"/>
          <w:color w:val="auto"/>
        </w:rPr>
        <w:t>Citizenship or Place of Organization</w:t>
      </w:r>
    </w:p>
    <w:p>
      <w:pPr>
        <w:spacing w:after="0" w:line="249" w:lineRule="exact"/>
        <w:rPr>
          <w:sz w:val="20"/>
          <w:szCs w:val="20"/>
          <w:color w:val="auto"/>
        </w:rPr>
      </w:pPr>
    </w:p>
    <w:p>
      <w:pPr>
        <w:ind w:left="484"/>
        <w:spacing w:after="0"/>
        <w:rPr>
          <w:sz w:val="20"/>
          <w:szCs w:val="20"/>
          <w:color w:val="auto"/>
        </w:rPr>
      </w:pPr>
      <w:r>
        <w:rPr>
          <w:rFonts w:ascii="Arial" w:cs="Arial" w:eastAsia="Arial" w:hAnsi="Arial"/>
          <w:sz w:val="22"/>
          <w:szCs w:val="22"/>
          <w:color w:val="auto"/>
        </w:rPr>
        <w:t>British Virgin Islands</w:t>
      </w:r>
    </w:p>
    <w:p>
      <w:pPr>
        <w:spacing w:after="0" w:line="21" w:lineRule="exact"/>
        <w:rPr>
          <w:sz w:val="20"/>
          <w:szCs w:val="20"/>
          <w:color w:val="auto"/>
        </w:rPr>
      </w:pPr>
    </w:p>
    <w:tbl>
      <w:tblPr>
        <w:tblLayout w:type="fixed"/>
        <w:tblInd w:w="164" w:type="dxa"/>
        <w:tblCellMar>
          <w:top w:w="0" w:type="dxa"/>
          <w:left w:w="0" w:type="dxa"/>
          <w:bottom w:w="0" w:type="dxa"/>
          <w:right w:w="0" w:type="dxa"/>
        </w:tblCellMar>
      </w:tblPr>
      <w:tr>
        <w:trPr>
          <w:trHeight w:val="234"/>
        </w:trPr>
        <w:tc>
          <w:tcPr>
            <w:tcW w:w="88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240" w:type="dxa"/>
            <w:vAlign w:val="bottom"/>
          </w:tcPr>
          <w:p>
            <w:pPr>
              <w:jc w:val="right"/>
              <w:ind w:right="10"/>
              <w:spacing w:after="0"/>
              <w:rPr>
                <w:sz w:val="20"/>
                <w:szCs w:val="20"/>
                <w:color w:val="auto"/>
              </w:rPr>
            </w:pPr>
            <w:r>
              <w:rPr>
                <w:rFonts w:ascii="Arial" w:cs="Arial" w:eastAsia="Arial" w:hAnsi="Arial"/>
                <w:sz w:val="18"/>
                <w:szCs w:val="18"/>
                <w:b w:val="1"/>
                <w:bCs w:val="1"/>
                <w:color w:val="auto"/>
              </w:rPr>
              <w:t>5</w:t>
            </w:r>
          </w:p>
        </w:tc>
        <w:tc>
          <w:tcPr>
            <w:tcW w:w="9560" w:type="dxa"/>
            <w:vAlign w:val="bottom"/>
          </w:tcPr>
          <w:p>
            <w:pPr>
              <w:ind w:left="80"/>
              <w:spacing w:after="0"/>
              <w:rPr>
                <w:sz w:val="20"/>
                <w:szCs w:val="20"/>
                <w:color w:val="auto"/>
              </w:rPr>
            </w:pPr>
            <w:r>
              <w:rPr>
                <w:rFonts w:ascii="Arial" w:cs="Arial" w:eastAsia="Arial" w:hAnsi="Arial"/>
                <w:sz w:val="18"/>
                <w:szCs w:val="18"/>
                <w:b w:val="1"/>
                <w:bCs w:val="1"/>
                <w:color w:val="auto"/>
              </w:rPr>
              <w:t>Sole Voting Power</w:t>
            </w:r>
          </w:p>
        </w:tc>
        <w:tc>
          <w:tcPr>
            <w:tcW w:w="0" w:type="dxa"/>
            <w:vAlign w:val="bottom"/>
          </w:tcPr>
          <w:p>
            <w:pPr>
              <w:spacing w:after="0"/>
              <w:rPr>
                <w:sz w:val="1"/>
                <w:szCs w:val="1"/>
                <w:color w:val="auto"/>
              </w:rPr>
            </w:pPr>
          </w:p>
        </w:tc>
      </w:tr>
      <w:tr>
        <w:trPr>
          <w:trHeight w:val="496"/>
        </w:trPr>
        <w:tc>
          <w:tcPr>
            <w:tcW w:w="8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3"/>
              </w:rPr>
              <w:t>Number of</w:t>
            </w:r>
          </w:p>
        </w:tc>
        <w:tc>
          <w:tcPr>
            <w:tcW w:w="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560" w:type="dxa"/>
            <w:vAlign w:val="bottom"/>
            <w:tcBorders>
              <w:bottom w:val="single" w:sz="8" w:color="auto"/>
            </w:tcBorders>
          </w:tcPr>
          <w:p>
            <w:pPr>
              <w:ind w:left="80"/>
              <w:spacing w:after="0"/>
              <w:rPr>
                <w:sz w:val="20"/>
                <w:szCs w:val="20"/>
                <w:color w:val="auto"/>
              </w:rPr>
            </w:pPr>
            <w:r>
              <w:rPr>
                <w:rFonts w:ascii="Arial" w:cs="Arial" w:eastAsia="Arial" w:hAnsi="Arial"/>
                <w:sz w:val="22"/>
                <w:szCs w:val="22"/>
                <w:color w:val="auto"/>
              </w:rPr>
              <w:t>38,275,787</w:t>
            </w: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157"/>
        </w:trPr>
        <w:tc>
          <w:tcPr>
            <w:tcW w:w="880" w:type="dxa"/>
            <w:vAlign w:val="bottom"/>
            <w:vMerge w:val="continue"/>
          </w:tcPr>
          <w:p>
            <w:pPr>
              <w:spacing w:after="0"/>
              <w:rPr>
                <w:sz w:val="13"/>
                <w:szCs w:val="13"/>
                <w:color w:val="auto"/>
              </w:rPr>
            </w:pPr>
          </w:p>
        </w:tc>
        <w:tc>
          <w:tcPr>
            <w:tcW w:w="60" w:type="dxa"/>
            <w:vAlign w:val="bottom"/>
          </w:tcPr>
          <w:p>
            <w:pPr>
              <w:spacing w:after="0"/>
              <w:rPr>
                <w:sz w:val="13"/>
                <w:szCs w:val="13"/>
                <w:color w:val="auto"/>
              </w:rPr>
            </w:pPr>
          </w:p>
        </w:tc>
        <w:tc>
          <w:tcPr>
            <w:tcW w:w="240" w:type="dxa"/>
            <w:vAlign w:val="bottom"/>
          </w:tcPr>
          <w:p>
            <w:pPr>
              <w:jc w:val="right"/>
              <w:ind w:right="10"/>
              <w:spacing w:after="0" w:line="157" w:lineRule="exact"/>
              <w:rPr>
                <w:sz w:val="20"/>
                <w:szCs w:val="20"/>
                <w:color w:val="auto"/>
              </w:rPr>
            </w:pPr>
            <w:r>
              <w:rPr>
                <w:rFonts w:ascii="Arial" w:cs="Arial" w:eastAsia="Arial" w:hAnsi="Arial"/>
                <w:sz w:val="18"/>
                <w:szCs w:val="18"/>
                <w:b w:val="1"/>
                <w:bCs w:val="1"/>
                <w:color w:val="auto"/>
              </w:rPr>
              <w:t>6</w:t>
            </w:r>
          </w:p>
        </w:tc>
        <w:tc>
          <w:tcPr>
            <w:tcW w:w="9560" w:type="dxa"/>
            <w:vAlign w:val="bottom"/>
          </w:tcPr>
          <w:p>
            <w:pPr>
              <w:ind w:left="80"/>
              <w:spacing w:after="0" w:line="157" w:lineRule="exact"/>
              <w:rPr>
                <w:sz w:val="20"/>
                <w:szCs w:val="20"/>
                <w:color w:val="auto"/>
              </w:rPr>
            </w:pPr>
            <w:r>
              <w:rPr>
                <w:rFonts w:ascii="Arial" w:cs="Arial" w:eastAsia="Arial" w:hAnsi="Arial"/>
                <w:sz w:val="18"/>
                <w:szCs w:val="18"/>
                <w:b w:val="1"/>
                <w:bCs w:val="1"/>
                <w:color w:val="auto"/>
              </w:rPr>
              <w:t>Shared Voting Power</w:t>
            </w:r>
          </w:p>
        </w:tc>
        <w:tc>
          <w:tcPr>
            <w:tcW w:w="0" w:type="dxa"/>
            <w:vAlign w:val="bottom"/>
          </w:tcPr>
          <w:p>
            <w:pPr>
              <w:spacing w:after="0"/>
              <w:rPr>
                <w:sz w:val="1"/>
                <w:szCs w:val="1"/>
                <w:color w:val="auto"/>
              </w:rPr>
            </w:pPr>
          </w:p>
        </w:tc>
      </w:tr>
      <w:tr>
        <w:trPr>
          <w:trHeight w:val="103"/>
        </w:trPr>
        <w:tc>
          <w:tcPr>
            <w:tcW w:w="940" w:type="dxa"/>
            <w:vAlign w:val="bottom"/>
            <w:gridSpan w:val="2"/>
          </w:tcPr>
          <w:p>
            <w:pPr>
              <w:jc w:val="center"/>
              <w:ind w:right="60"/>
              <w:spacing w:after="0" w:line="103" w:lineRule="exact"/>
              <w:rPr>
                <w:sz w:val="20"/>
                <w:szCs w:val="20"/>
                <w:color w:val="auto"/>
              </w:rPr>
            </w:pPr>
            <w:r>
              <w:rPr>
                <w:rFonts w:ascii="Arial" w:cs="Arial" w:eastAsia="Arial" w:hAnsi="Arial"/>
                <w:sz w:val="11"/>
                <w:szCs w:val="11"/>
                <w:b w:val="1"/>
                <w:bCs w:val="1"/>
                <w:color w:val="auto"/>
              </w:rPr>
              <w:t>Shares</w:t>
            </w:r>
          </w:p>
        </w:tc>
        <w:tc>
          <w:tcPr>
            <w:tcW w:w="240" w:type="dxa"/>
            <w:vAlign w:val="bottom"/>
          </w:tcPr>
          <w:p>
            <w:pPr>
              <w:spacing w:after="0"/>
              <w:rPr>
                <w:sz w:val="8"/>
                <w:szCs w:val="8"/>
                <w:color w:val="auto"/>
              </w:rPr>
            </w:pPr>
          </w:p>
        </w:tc>
        <w:tc>
          <w:tcPr>
            <w:tcW w:w="956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216"/>
        </w:trPr>
        <w:tc>
          <w:tcPr>
            <w:tcW w:w="94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9"/>
              </w:rPr>
              <w:t>Beneficially</w:t>
            </w:r>
          </w:p>
        </w:tc>
        <w:tc>
          <w:tcPr>
            <w:tcW w:w="240" w:type="dxa"/>
            <w:vAlign w:val="bottom"/>
          </w:tcPr>
          <w:p>
            <w:pPr>
              <w:spacing w:after="0"/>
              <w:rPr>
                <w:sz w:val="18"/>
                <w:szCs w:val="18"/>
                <w:color w:val="auto"/>
              </w:rPr>
            </w:pPr>
          </w:p>
        </w:tc>
        <w:tc>
          <w:tcPr>
            <w:tcW w:w="9560" w:type="dxa"/>
            <w:vAlign w:val="bottom"/>
            <w:vMerge w:val="restart"/>
          </w:tcPr>
          <w:p>
            <w:pPr>
              <w:ind w:left="80"/>
              <w:spacing w:after="0"/>
              <w:rPr>
                <w:sz w:val="20"/>
                <w:szCs w:val="20"/>
                <w:color w:val="auto"/>
              </w:rPr>
            </w:pPr>
            <w:r>
              <w:rPr>
                <w:rFonts w:ascii="Arial" w:cs="Arial" w:eastAsia="Arial" w:hAnsi="Arial"/>
                <w:sz w:val="22"/>
                <w:szCs w:val="22"/>
                <w:color w:val="auto"/>
              </w:rPr>
              <w:t>0</w:t>
            </w:r>
          </w:p>
        </w:tc>
        <w:tc>
          <w:tcPr>
            <w:tcW w:w="0" w:type="dxa"/>
            <w:vAlign w:val="bottom"/>
          </w:tcPr>
          <w:p>
            <w:pPr>
              <w:spacing w:after="0"/>
              <w:rPr>
                <w:sz w:val="1"/>
                <w:szCs w:val="1"/>
                <w:color w:val="auto"/>
              </w:rPr>
            </w:pPr>
          </w:p>
        </w:tc>
      </w:tr>
      <w:tr>
        <w:trPr>
          <w:trHeight w:val="234"/>
        </w:trPr>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Owned by</w:t>
            </w:r>
          </w:p>
        </w:tc>
        <w:tc>
          <w:tcPr>
            <w:tcW w:w="240" w:type="dxa"/>
            <w:vAlign w:val="bottom"/>
          </w:tcPr>
          <w:p>
            <w:pPr>
              <w:spacing w:after="0"/>
              <w:rPr>
                <w:sz w:val="20"/>
                <w:szCs w:val="20"/>
                <w:color w:val="auto"/>
              </w:rPr>
            </w:pPr>
          </w:p>
        </w:tc>
        <w:tc>
          <w:tcPr>
            <w:tcW w:w="9560" w:type="dxa"/>
            <w:vAlign w:val="bottom"/>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880" w:type="dxa"/>
            <w:vAlign w:val="bottom"/>
          </w:tcPr>
          <w:p>
            <w:pPr>
              <w:jc w:val="center"/>
              <w:spacing w:after="0" w:line="177" w:lineRule="exact"/>
              <w:rPr>
                <w:sz w:val="20"/>
                <w:szCs w:val="20"/>
                <w:color w:val="auto"/>
              </w:rPr>
            </w:pPr>
            <w:r>
              <w:rPr>
                <w:rFonts w:ascii="Arial" w:cs="Arial" w:eastAsia="Arial" w:hAnsi="Arial"/>
                <w:sz w:val="18"/>
                <w:szCs w:val="18"/>
                <w:b w:val="1"/>
                <w:bCs w:val="1"/>
                <w:color w:val="auto"/>
                <w:w w:val="88"/>
              </w:rPr>
              <w:t>Each</w:t>
            </w:r>
          </w:p>
        </w:tc>
        <w:tc>
          <w:tcPr>
            <w:tcW w:w="60" w:type="dxa"/>
            <w:vAlign w:val="bottom"/>
            <w:tcBorders>
              <w:top w:val="single" w:sz="8" w:color="auto"/>
            </w:tcBorders>
          </w:tcPr>
          <w:p>
            <w:pPr>
              <w:spacing w:after="0"/>
              <w:rPr>
                <w:sz w:val="15"/>
                <w:szCs w:val="15"/>
                <w:color w:val="auto"/>
              </w:rPr>
            </w:pPr>
          </w:p>
        </w:tc>
        <w:tc>
          <w:tcPr>
            <w:tcW w:w="240" w:type="dxa"/>
            <w:vAlign w:val="bottom"/>
            <w:tcBorders>
              <w:top w:val="single" w:sz="8" w:color="auto"/>
            </w:tcBorders>
          </w:tcPr>
          <w:p>
            <w:pPr>
              <w:jc w:val="right"/>
              <w:ind w:right="10"/>
              <w:spacing w:after="0" w:line="177" w:lineRule="exact"/>
              <w:rPr>
                <w:sz w:val="20"/>
                <w:szCs w:val="20"/>
                <w:color w:val="auto"/>
              </w:rPr>
            </w:pPr>
            <w:r>
              <w:rPr>
                <w:rFonts w:ascii="Arial" w:cs="Arial" w:eastAsia="Arial" w:hAnsi="Arial"/>
                <w:sz w:val="18"/>
                <w:szCs w:val="18"/>
                <w:b w:val="1"/>
                <w:bCs w:val="1"/>
                <w:color w:val="auto"/>
              </w:rPr>
              <w:t>7</w:t>
            </w:r>
          </w:p>
        </w:tc>
        <w:tc>
          <w:tcPr>
            <w:tcW w:w="9560" w:type="dxa"/>
            <w:vAlign w:val="bottom"/>
            <w:tcBorders>
              <w:top w:val="single" w:sz="8" w:color="auto"/>
            </w:tcBorders>
          </w:tcPr>
          <w:p>
            <w:pPr>
              <w:ind w:left="80"/>
              <w:spacing w:after="0" w:line="177" w:lineRule="exact"/>
              <w:rPr>
                <w:sz w:val="20"/>
                <w:szCs w:val="20"/>
                <w:color w:val="auto"/>
              </w:rPr>
            </w:pPr>
            <w:r>
              <w:rPr>
                <w:rFonts w:ascii="Arial" w:cs="Arial" w:eastAsia="Arial" w:hAnsi="Arial"/>
                <w:sz w:val="18"/>
                <w:szCs w:val="18"/>
                <w:b w:val="1"/>
                <w:bCs w:val="1"/>
                <w:color w:val="auto"/>
              </w:rPr>
              <w:t>Sole Dispositive Power</w:t>
            </w:r>
          </w:p>
        </w:tc>
        <w:tc>
          <w:tcPr>
            <w:tcW w:w="0" w:type="dxa"/>
            <w:vAlign w:val="bottom"/>
          </w:tcPr>
          <w:p>
            <w:pPr>
              <w:spacing w:after="0"/>
              <w:rPr>
                <w:sz w:val="1"/>
                <w:szCs w:val="1"/>
                <w:color w:val="auto"/>
              </w:rPr>
            </w:pPr>
          </w:p>
        </w:tc>
      </w:tr>
      <w:tr>
        <w:trPr>
          <w:trHeight w:val="216"/>
        </w:trPr>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1"/>
              </w:rPr>
              <w:t>Reporting</w:t>
            </w:r>
          </w:p>
        </w:tc>
        <w:tc>
          <w:tcPr>
            <w:tcW w:w="240" w:type="dxa"/>
            <w:vAlign w:val="bottom"/>
          </w:tcPr>
          <w:p>
            <w:pPr>
              <w:spacing w:after="0"/>
              <w:rPr>
                <w:sz w:val="18"/>
                <w:szCs w:val="18"/>
                <w:color w:val="auto"/>
              </w:rPr>
            </w:pPr>
          </w:p>
        </w:tc>
        <w:tc>
          <w:tcPr>
            <w:tcW w:w="9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94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Person</w:t>
            </w:r>
          </w:p>
        </w:tc>
        <w:tc>
          <w:tcPr>
            <w:tcW w:w="240" w:type="dxa"/>
            <w:vAlign w:val="bottom"/>
          </w:tcPr>
          <w:p>
            <w:pPr>
              <w:spacing w:after="0"/>
              <w:rPr>
                <w:sz w:val="21"/>
                <w:szCs w:val="21"/>
                <w:color w:val="auto"/>
              </w:rPr>
            </w:pPr>
          </w:p>
        </w:tc>
        <w:tc>
          <w:tcPr>
            <w:tcW w:w="9560" w:type="dxa"/>
            <w:vAlign w:val="bottom"/>
          </w:tcPr>
          <w:p>
            <w:pPr>
              <w:ind w:left="80"/>
              <w:spacing w:after="0" w:line="248" w:lineRule="exact"/>
              <w:rPr>
                <w:sz w:val="20"/>
                <w:szCs w:val="20"/>
                <w:color w:val="auto"/>
              </w:rPr>
            </w:pPr>
            <w:r>
              <w:rPr>
                <w:rFonts w:ascii="Arial" w:cs="Arial" w:eastAsia="Arial" w:hAnsi="Arial"/>
                <w:sz w:val="22"/>
                <w:szCs w:val="22"/>
                <w:color w:val="auto"/>
              </w:rPr>
              <w:t>38,275,787</w:t>
            </w: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68"/>
        </w:trPr>
        <w:tc>
          <w:tcPr>
            <w:tcW w:w="880" w:type="dxa"/>
            <w:vAlign w:val="bottom"/>
            <w:vMerge w:val="restart"/>
          </w:tcPr>
          <w:p>
            <w:pPr>
              <w:jc w:val="center"/>
              <w:spacing w:after="0"/>
              <w:rPr>
                <w:sz w:val="20"/>
                <w:szCs w:val="20"/>
                <w:color w:val="auto"/>
              </w:rPr>
            </w:pPr>
            <w:r>
              <w:rPr>
                <w:rFonts w:ascii="Arial" w:cs="Arial" w:eastAsia="Arial" w:hAnsi="Arial"/>
                <w:sz w:val="18"/>
                <w:szCs w:val="18"/>
                <w:b w:val="1"/>
                <w:bCs w:val="1"/>
                <w:color w:val="auto"/>
                <w:w w:val="97"/>
              </w:rPr>
              <w:t>With:</w:t>
            </w:r>
          </w:p>
        </w:tc>
        <w:tc>
          <w:tcPr>
            <w:tcW w:w="60" w:type="dxa"/>
            <w:vAlign w:val="bottom"/>
            <w:tcBorders>
              <w:bottom w:val="single" w:sz="8" w:color="auto"/>
            </w:tcBorders>
          </w:tcPr>
          <w:p>
            <w:pPr>
              <w:spacing w:after="0"/>
              <w:rPr>
                <w:sz w:val="5"/>
                <w:szCs w:val="5"/>
                <w:color w:val="auto"/>
              </w:rPr>
            </w:pPr>
          </w:p>
        </w:tc>
        <w:tc>
          <w:tcPr>
            <w:tcW w:w="240" w:type="dxa"/>
            <w:vAlign w:val="bottom"/>
            <w:tcBorders>
              <w:bottom w:val="single" w:sz="8" w:color="auto"/>
            </w:tcBorders>
          </w:tcPr>
          <w:p>
            <w:pPr>
              <w:spacing w:after="0"/>
              <w:rPr>
                <w:sz w:val="5"/>
                <w:szCs w:val="5"/>
                <w:color w:val="auto"/>
              </w:rPr>
            </w:pPr>
          </w:p>
        </w:tc>
        <w:tc>
          <w:tcPr>
            <w:tcW w:w="9560" w:type="dxa"/>
            <w:vAlign w:val="bottom"/>
            <w:tcBorders>
              <w:bottom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147"/>
        </w:trPr>
        <w:tc>
          <w:tcPr>
            <w:tcW w:w="880" w:type="dxa"/>
            <w:vAlign w:val="bottom"/>
            <w:vMerge w:val="continue"/>
          </w:tcPr>
          <w:p>
            <w:pPr>
              <w:spacing w:after="0"/>
              <w:rPr>
                <w:sz w:val="12"/>
                <w:szCs w:val="12"/>
                <w:color w:val="auto"/>
              </w:rPr>
            </w:pPr>
          </w:p>
        </w:tc>
        <w:tc>
          <w:tcPr>
            <w:tcW w:w="60" w:type="dxa"/>
            <w:vAlign w:val="bottom"/>
          </w:tcPr>
          <w:p>
            <w:pPr>
              <w:spacing w:after="0"/>
              <w:rPr>
                <w:sz w:val="12"/>
                <w:szCs w:val="12"/>
                <w:color w:val="auto"/>
              </w:rPr>
            </w:pPr>
          </w:p>
        </w:tc>
        <w:tc>
          <w:tcPr>
            <w:tcW w:w="240" w:type="dxa"/>
            <w:vAlign w:val="bottom"/>
            <w:vMerge w:val="restart"/>
          </w:tcPr>
          <w:p>
            <w:pPr>
              <w:jc w:val="right"/>
              <w:ind w:right="10"/>
              <w:spacing w:after="0"/>
              <w:rPr>
                <w:sz w:val="20"/>
                <w:szCs w:val="20"/>
                <w:color w:val="auto"/>
              </w:rPr>
            </w:pPr>
            <w:r>
              <w:rPr>
                <w:rFonts w:ascii="Arial" w:cs="Arial" w:eastAsia="Arial" w:hAnsi="Arial"/>
                <w:sz w:val="18"/>
                <w:szCs w:val="18"/>
                <w:b w:val="1"/>
                <w:bCs w:val="1"/>
                <w:color w:val="auto"/>
              </w:rPr>
              <w:t>8</w:t>
            </w:r>
          </w:p>
        </w:tc>
        <w:tc>
          <w:tcPr>
            <w:tcW w:w="9560" w:type="dxa"/>
            <w:vAlign w:val="bottom"/>
            <w:vMerge w:val="restart"/>
          </w:tcPr>
          <w:p>
            <w:pPr>
              <w:ind w:left="80"/>
              <w:spacing w:after="0"/>
              <w:rPr>
                <w:sz w:val="20"/>
                <w:szCs w:val="20"/>
                <w:color w:val="auto"/>
              </w:rPr>
            </w:pPr>
            <w:r>
              <w:rPr>
                <w:rFonts w:ascii="Arial" w:cs="Arial" w:eastAsia="Arial" w:hAnsi="Arial"/>
                <w:sz w:val="18"/>
                <w:szCs w:val="18"/>
                <w:b w:val="1"/>
                <w:bCs w:val="1"/>
                <w:color w:val="auto"/>
              </w:rPr>
              <w:t>Shared Dispositive Power</w:t>
            </w:r>
          </w:p>
        </w:tc>
        <w:tc>
          <w:tcPr>
            <w:tcW w:w="0" w:type="dxa"/>
            <w:vAlign w:val="bottom"/>
          </w:tcPr>
          <w:p>
            <w:pPr>
              <w:spacing w:after="0"/>
              <w:rPr>
                <w:sz w:val="1"/>
                <w:szCs w:val="1"/>
                <w:color w:val="auto"/>
              </w:rPr>
            </w:pPr>
          </w:p>
        </w:tc>
      </w:tr>
      <w:tr>
        <w:trPr>
          <w:trHeight w:val="81"/>
        </w:trPr>
        <w:tc>
          <w:tcPr>
            <w:tcW w:w="880" w:type="dxa"/>
            <w:vAlign w:val="bottom"/>
          </w:tcPr>
          <w:p>
            <w:pPr>
              <w:spacing w:after="0"/>
              <w:rPr>
                <w:sz w:val="7"/>
                <w:szCs w:val="7"/>
                <w:color w:val="auto"/>
              </w:rPr>
            </w:pPr>
          </w:p>
        </w:tc>
        <w:tc>
          <w:tcPr>
            <w:tcW w:w="60" w:type="dxa"/>
            <w:vAlign w:val="bottom"/>
          </w:tcPr>
          <w:p>
            <w:pPr>
              <w:spacing w:after="0"/>
              <w:rPr>
                <w:sz w:val="7"/>
                <w:szCs w:val="7"/>
                <w:color w:val="auto"/>
              </w:rPr>
            </w:pPr>
          </w:p>
        </w:tc>
        <w:tc>
          <w:tcPr>
            <w:tcW w:w="240" w:type="dxa"/>
            <w:vAlign w:val="bottom"/>
            <w:vMerge w:val="continue"/>
          </w:tcPr>
          <w:p>
            <w:pPr>
              <w:spacing w:after="0"/>
              <w:rPr>
                <w:sz w:val="7"/>
                <w:szCs w:val="7"/>
                <w:color w:val="auto"/>
              </w:rPr>
            </w:pPr>
          </w:p>
        </w:tc>
        <w:tc>
          <w:tcPr>
            <w:tcW w:w="956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bl>
    <w:p>
      <w:pPr>
        <w:spacing w:after="0" w:line="203" w:lineRule="exact"/>
        <w:rPr>
          <w:sz w:val="20"/>
          <w:szCs w:val="20"/>
          <w:color w:val="auto"/>
        </w:rPr>
      </w:pPr>
    </w:p>
    <w:p>
      <w:pPr>
        <w:ind w:left="1424"/>
        <w:spacing w:after="0"/>
        <w:rPr>
          <w:sz w:val="20"/>
          <w:szCs w:val="20"/>
          <w:color w:val="auto"/>
        </w:rPr>
      </w:pPr>
      <w:r>
        <w:rPr>
          <w:rFonts w:ascii="Arial" w:cs="Arial" w:eastAsia="Arial" w:hAnsi="Arial"/>
          <w:sz w:val="22"/>
          <w:szCs w:val="22"/>
          <w:color w:val="auto"/>
        </w:rPr>
        <w:t>0</w:t>
      </w:r>
    </w:p>
    <w:p>
      <w:pPr>
        <w:spacing w:after="0" w:line="21" w:lineRule="exact"/>
        <w:rPr>
          <w:sz w:val="20"/>
          <w:szCs w:val="20"/>
          <w:color w:val="auto"/>
        </w:rPr>
      </w:pPr>
    </w:p>
    <w:p>
      <w:pPr>
        <w:ind w:left="244"/>
        <w:spacing w:after="0"/>
        <w:tabs>
          <w:tab w:leader="none" w:pos="464" w:val="left"/>
        </w:tabs>
        <w:rPr>
          <w:sz w:val="20"/>
          <w:szCs w:val="20"/>
          <w:color w:val="auto"/>
        </w:rPr>
      </w:pPr>
      <w:r>
        <w:rPr>
          <w:rFonts w:ascii="Arial" w:cs="Arial" w:eastAsia="Arial" w:hAnsi="Arial"/>
          <w:sz w:val="18"/>
          <w:szCs w:val="18"/>
          <w:b w:val="1"/>
          <w:bCs w:val="1"/>
          <w:color w:val="auto"/>
        </w:rPr>
        <w:t>9</w:t>
      </w:r>
      <w:r>
        <w:rPr>
          <w:sz w:val="20"/>
          <w:szCs w:val="20"/>
          <w:color w:val="auto"/>
        </w:rPr>
        <w:tab/>
      </w:r>
      <w:r>
        <w:rPr>
          <w:rFonts w:ascii="Arial" w:cs="Arial" w:eastAsia="Arial" w:hAnsi="Arial"/>
          <w:sz w:val="16"/>
          <w:szCs w:val="16"/>
          <w:b w:val="1"/>
          <w:bCs w:val="1"/>
          <w:color w:val="auto"/>
        </w:rPr>
        <w:t>Aggregate Amount Beneficially Owned by Each Reporting Person</w:t>
      </w:r>
    </w:p>
    <w:p>
      <w:pPr>
        <w:spacing w:after="0" w:line="248" w:lineRule="exact"/>
        <w:rPr>
          <w:sz w:val="20"/>
          <w:szCs w:val="20"/>
          <w:color w:val="auto"/>
        </w:rPr>
      </w:pPr>
    </w:p>
    <w:p>
      <w:pPr>
        <w:ind w:left="484"/>
        <w:spacing w:after="0"/>
        <w:rPr>
          <w:sz w:val="20"/>
          <w:szCs w:val="20"/>
          <w:color w:val="auto"/>
        </w:rPr>
      </w:pPr>
      <w:r>
        <w:rPr>
          <w:rFonts w:ascii="Arial" w:cs="Arial" w:eastAsia="Arial" w:hAnsi="Arial"/>
          <w:sz w:val="22"/>
          <w:szCs w:val="22"/>
          <w:color w:val="auto"/>
        </w:rPr>
        <w:t>38,275,787</w:t>
      </w:r>
      <w:r>
        <w:rPr>
          <w:rFonts w:ascii="Arial" w:cs="Arial" w:eastAsia="Arial" w:hAnsi="Arial"/>
          <w:sz w:val="18"/>
          <w:szCs w:val="18"/>
          <w:color w:val="auto"/>
        </w:rPr>
        <w:t>(1)</w:t>
      </w:r>
    </w:p>
    <w:p>
      <w:pPr>
        <w:spacing w:after="0" w:line="21"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10</w:t>
      </w:r>
      <w:r>
        <w:rPr>
          <w:sz w:val="20"/>
          <w:szCs w:val="20"/>
          <w:color w:val="auto"/>
        </w:rPr>
        <w:tab/>
      </w:r>
      <w:r>
        <w:rPr>
          <w:rFonts w:ascii="Arial" w:cs="Arial" w:eastAsia="Arial" w:hAnsi="Arial"/>
          <w:sz w:val="16"/>
          <w:szCs w:val="16"/>
          <w:b w:val="1"/>
          <w:bCs w:val="1"/>
          <w:color w:val="auto"/>
        </w:rPr>
        <w:t>Check if the Aggregate Amount in Row (9) Excludes Certain Shares (See Instructions)</w:t>
      </w:r>
    </w:p>
    <w:p>
      <w:pPr>
        <w:spacing w:after="0" w:line="221" w:lineRule="exact"/>
        <w:rPr>
          <w:sz w:val="20"/>
          <w:szCs w:val="20"/>
          <w:color w:val="auto"/>
        </w:rPr>
      </w:pPr>
    </w:p>
    <w:p>
      <w:pPr>
        <w:ind w:left="484"/>
        <w:spacing w:after="0" w:line="221" w:lineRule="exact"/>
        <w:rPr>
          <w:sz w:val="20"/>
          <w:szCs w:val="20"/>
          <w:color w:val="auto"/>
        </w:rPr>
      </w:pPr>
      <w:r>
        <w:rPr>
          <w:rFonts w:ascii="MS PGothic" w:cs="MS PGothic" w:eastAsia="MS PGothic" w:hAnsi="MS PGothic"/>
          <w:sz w:val="22"/>
          <w:szCs w:val="22"/>
          <w:color w:val="auto"/>
        </w:rPr>
        <w:t>☐</w:t>
      </w:r>
    </w:p>
    <w:p>
      <w:pPr>
        <w:spacing w:after="0" w:line="113"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11</w:t>
      </w:r>
      <w:r>
        <w:rPr>
          <w:sz w:val="20"/>
          <w:szCs w:val="20"/>
          <w:color w:val="auto"/>
        </w:rPr>
        <w:tab/>
      </w:r>
      <w:r>
        <w:rPr>
          <w:rFonts w:ascii="Arial" w:cs="Arial" w:eastAsia="Arial" w:hAnsi="Arial"/>
          <w:sz w:val="16"/>
          <w:szCs w:val="16"/>
          <w:b w:val="1"/>
          <w:bCs w:val="1"/>
          <w:color w:val="auto"/>
        </w:rPr>
        <w:t>Percent of Class Represented by Amount in Row (9)</w:t>
      </w:r>
    </w:p>
    <w:p>
      <w:pPr>
        <w:spacing w:after="0" w:line="229" w:lineRule="exact"/>
        <w:rPr>
          <w:sz w:val="20"/>
          <w:szCs w:val="20"/>
          <w:color w:val="auto"/>
        </w:rPr>
      </w:pPr>
    </w:p>
    <w:p>
      <w:pPr>
        <w:ind w:left="484" w:right="100"/>
        <w:spacing w:after="0"/>
        <w:rPr>
          <w:sz w:val="20"/>
          <w:szCs w:val="20"/>
          <w:color w:val="auto"/>
        </w:rPr>
      </w:pPr>
      <w:r>
        <w:rPr>
          <w:rFonts w:ascii="Arial" w:cs="Arial" w:eastAsia="Arial" w:hAnsi="Arial"/>
          <w:sz w:val="22"/>
          <w:szCs w:val="22"/>
          <w:color w:val="auto"/>
        </w:rPr>
        <w:t>14.3% of Class A ordinary shares assuming conversion of the Class B ordinary shares held by the reporting person only into Class A ordinary shares.</w:t>
      </w:r>
      <w:r>
        <w:rPr>
          <w:rFonts w:ascii="Arial" w:cs="Arial" w:eastAsia="Arial" w:hAnsi="Arial"/>
          <w:sz w:val="18"/>
          <w:szCs w:val="18"/>
          <w:color w:val="auto"/>
        </w:rPr>
        <w:t>(2)</w:t>
      </w:r>
      <w:r>
        <w:rPr>
          <w:rFonts w:ascii="Arial" w:cs="Arial" w:eastAsia="Arial" w:hAnsi="Arial"/>
          <w:sz w:val="22"/>
          <w:szCs w:val="22"/>
          <w:color w:val="auto"/>
        </w:rPr>
        <w:t xml:space="preserve"> The voting power of the shares beneficially owned by the reporting person represent 45.3% of the total outstanding voting power.</w:t>
      </w:r>
      <w:r>
        <w:rPr>
          <w:rFonts w:ascii="Arial" w:cs="Arial" w:eastAsia="Arial" w:hAnsi="Arial"/>
          <w:sz w:val="18"/>
          <w:szCs w:val="18"/>
          <w:color w:val="auto"/>
        </w:rPr>
        <w:t>(3)</w:t>
      </w:r>
    </w:p>
    <w:p>
      <w:pPr>
        <w:spacing w:after="0" w:line="2" w:lineRule="exact"/>
        <w:rPr>
          <w:sz w:val="20"/>
          <w:szCs w:val="20"/>
          <w:color w:val="auto"/>
        </w:rPr>
      </w:pPr>
    </w:p>
    <w:p>
      <w:pPr>
        <w:ind w:left="164"/>
        <w:spacing w:after="0"/>
        <w:tabs>
          <w:tab w:leader="none" w:pos="464" w:val="left"/>
        </w:tabs>
        <w:rPr>
          <w:sz w:val="20"/>
          <w:szCs w:val="20"/>
          <w:color w:val="auto"/>
        </w:rPr>
      </w:pPr>
      <w:r>
        <w:rPr>
          <w:rFonts w:ascii="Arial" w:cs="Arial" w:eastAsia="Arial" w:hAnsi="Arial"/>
          <w:sz w:val="18"/>
          <w:szCs w:val="18"/>
          <w:b w:val="1"/>
          <w:bCs w:val="1"/>
          <w:color w:val="auto"/>
        </w:rPr>
        <w:t>12</w:t>
      </w:r>
      <w:r>
        <w:rPr>
          <w:sz w:val="20"/>
          <w:szCs w:val="20"/>
          <w:color w:val="auto"/>
        </w:rPr>
        <w:tab/>
      </w:r>
      <w:r>
        <w:rPr>
          <w:rFonts w:ascii="Arial" w:cs="Arial" w:eastAsia="Arial" w:hAnsi="Arial"/>
          <w:sz w:val="16"/>
          <w:szCs w:val="16"/>
          <w:b w:val="1"/>
          <w:bCs w:val="1"/>
          <w:color w:val="auto"/>
        </w:rPr>
        <w:t>Type of Reporting Person (See Instructions)</w:t>
      </w:r>
    </w:p>
    <w:p>
      <w:pPr>
        <w:spacing w:after="0" w:line="248" w:lineRule="exact"/>
        <w:rPr>
          <w:sz w:val="20"/>
          <w:szCs w:val="20"/>
          <w:color w:val="auto"/>
        </w:rPr>
      </w:pPr>
    </w:p>
    <w:p>
      <w:pPr>
        <w:ind w:left="484"/>
        <w:spacing w:after="0"/>
        <w:rPr>
          <w:sz w:val="20"/>
          <w:szCs w:val="20"/>
          <w:color w:val="auto"/>
        </w:rPr>
      </w:pPr>
      <w:r>
        <w:rPr>
          <w:rFonts w:ascii="Arial" w:cs="Arial" w:eastAsia="Arial" w:hAnsi="Arial"/>
          <w:sz w:val="22"/>
          <w:szCs w:val="22"/>
          <w:color w:val="auto"/>
        </w:rPr>
        <w:t>CO</w:t>
      </w:r>
    </w:p>
    <w:p>
      <w:pPr>
        <w:spacing w:after="0" w:line="267" w:lineRule="exact"/>
        <w:rPr>
          <w:sz w:val="20"/>
          <w:szCs w:val="20"/>
          <w:color w:val="auto"/>
        </w:rPr>
      </w:pPr>
    </w:p>
    <w:p>
      <w:pPr>
        <w:ind w:left="424" w:hanging="424"/>
        <w:spacing w:after="0"/>
        <w:tabs>
          <w:tab w:leader="none" w:pos="424" w:val="left"/>
        </w:tabs>
        <w:numPr>
          <w:ilvl w:val="0"/>
          <w:numId w:val="5"/>
        </w:numPr>
        <w:rPr>
          <w:rFonts w:ascii="Arial" w:cs="Arial" w:eastAsia="Arial" w:hAnsi="Arial"/>
          <w:sz w:val="18"/>
          <w:szCs w:val="18"/>
          <w:color w:val="auto"/>
        </w:rPr>
      </w:pPr>
      <w:r>
        <w:rPr>
          <w:rFonts w:ascii="Arial" w:cs="Arial" w:eastAsia="Arial" w:hAnsi="Arial"/>
          <w:sz w:val="18"/>
          <w:szCs w:val="18"/>
          <w:color w:val="auto"/>
        </w:rPr>
        <w:t>Represents 38,275,787 Class B ordinary shares held by Eagle Central Holding Limited.</w:t>
      </w:r>
    </w:p>
    <w:p>
      <w:pPr>
        <w:spacing w:after="0" w:line="23" w:lineRule="exact"/>
        <w:rPr>
          <w:rFonts w:ascii="Arial" w:cs="Arial" w:eastAsia="Arial" w:hAnsi="Arial"/>
          <w:sz w:val="18"/>
          <w:szCs w:val="18"/>
          <w:color w:val="auto"/>
        </w:rPr>
      </w:pPr>
    </w:p>
    <w:p>
      <w:pPr>
        <w:ind w:left="424" w:hanging="424"/>
        <w:spacing w:after="0" w:line="250" w:lineRule="auto"/>
        <w:tabs>
          <w:tab w:leader="none" w:pos="424" w:val="left"/>
        </w:tabs>
        <w:numPr>
          <w:ilvl w:val="0"/>
          <w:numId w:val="5"/>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(i) 229,831,213 Class A ordinary shares of the Issuer issued and outstanding as of December 31, 2021 and (ii) 38,275,787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20" w:hanging="424"/>
        <w:spacing w:after="0" w:line="292" w:lineRule="auto"/>
        <w:tabs>
          <w:tab w:leader="none" w:pos="424" w:val="left"/>
        </w:tabs>
        <w:numPr>
          <w:ilvl w:val="0"/>
          <w:numId w:val="5"/>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95" w:lineRule="exact"/>
        <w:rPr>
          <w:sz w:val="20"/>
          <w:szCs w:val="20"/>
          <w:color w:val="auto"/>
        </w:rPr>
      </w:pPr>
    </w:p>
    <w:p>
      <w:pPr>
        <w:jc w:val="center"/>
        <w:ind w:right="-83"/>
        <w:spacing w:after="0"/>
        <w:rPr>
          <w:sz w:val="20"/>
          <w:szCs w:val="20"/>
          <w:color w:val="auto"/>
        </w:rPr>
      </w:pPr>
      <w:r>
        <w:rPr>
          <w:rFonts w:ascii="Arial" w:cs="Arial" w:eastAsia="Arial" w:hAnsi="Arial"/>
          <w:sz w:val="18"/>
          <w:szCs w:val="18"/>
          <w:color w:val="auto"/>
        </w:rPr>
        <w:t>Page 3 of 8</w:t>
      </w:r>
    </w:p>
    <w:p>
      <w:pPr>
        <w:sectPr>
          <w:pgSz w:w="11900" w:h="16838" w:orient="portrait"/>
          <w:cols w:equalWidth="0" w:num="1">
            <w:col w:w="10924"/>
          </w:cols>
          <w:pgMar w:left="436" w:top="283" w:right="539" w:bottom="1440" w:gutter="0" w:footer="0" w:header="0"/>
        </w:sectPr>
      </w:pPr>
    </w:p>
    <w:bookmarkStart w:id="3" w:name="page4"/>
    <w:bookmarkEnd w:id="3"/>
    <w:p>
      <w:pPr>
        <w:ind w:left="4"/>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Item 1.</w:t>
      </w:r>
    </w:p>
    <w:p>
      <w:pPr>
        <w:spacing w:after="0" w:line="131" w:lineRule="exact"/>
        <w:rPr>
          <w:sz w:val="20"/>
          <w:szCs w:val="20"/>
          <w:color w:val="auto"/>
        </w:rPr>
      </w:pPr>
    </w:p>
    <w:p>
      <w:pPr>
        <w:ind w:left="444" w:right="9340" w:hanging="444"/>
        <w:spacing w:after="0" w:line="488" w:lineRule="auto"/>
        <w:tabs>
          <w:tab w:leader="none" w:pos="436" w:val="left"/>
        </w:tabs>
        <w:numPr>
          <w:ilvl w:val="0"/>
          <w:numId w:val="6"/>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Name of Issuer: </w:t>
      </w:r>
      <w:r>
        <w:rPr>
          <w:rFonts w:ascii="Arial" w:cs="Arial" w:eastAsia="Arial" w:hAnsi="Arial"/>
          <w:sz w:val="16"/>
          <w:szCs w:val="16"/>
          <w:color w:val="auto"/>
        </w:rPr>
        <w:t>Cango Inc.</w:t>
      </w:r>
    </w:p>
    <w:p>
      <w:pPr>
        <w:spacing w:after="0" w:line="156" w:lineRule="exact"/>
        <w:rPr>
          <w:rFonts w:ascii="Arial" w:cs="Arial" w:eastAsia="Arial" w:hAnsi="Arial"/>
          <w:sz w:val="16"/>
          <w:szCs w:val="16"/>
          <w:b w:val="1"/>
          <w:bCs w:val="1"/>
          <w:color w:val="auto"/>
        </w:rPr>
      </w:pPr>
    </w:p>
    <w:p>
      <w:pPr>
        <w:ind w:left="424" w:hanging="424"/>
        <w:spacing w:after="0"/>
        <w:tabs>
          <w:tab w:leader="none" w:pos="424" w:val="left"/>
        </w:tabs>
        <w:numPr>
          <w:ilvl w:val="0"/>
          <w:numId w:val="6"/>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Issuer’s Principal Executive Offices:</w:t>
      </w:r>
    </w:p>
    <w:p>
      <w:pPr>
        <w:spacing w:after="0" w:line="121" w:lineRule="exact"/>
        <w:rPr>
          <w:rFonts w:ascii="Arial" w:cs="Arial" w:eastAsia="Arial" w:hAnsi="Arial"/>
          <w:sz w:val="18"/>
          <w:szCs w:val="18"/>
          <w:b w:val="1"/>
          <w:bCs w:val="1"/>
          <w:color w:val="auto"/>
        </w:rPr>
      </w:pPr>
    </w:p>
    <w:p>
      <w:pPr>
        <w:ind w:left="444" w:right="8260"/>
        <w:spacing w:after="0" w:line="255" w:lineRule="auto"/>
        <w:rPr>
          <w:rFonts w:ascii="Arial" w:cs="Arial" w:eastAsia="Arial" w:hAnsi="Arial"/>
          <w:sz w:val="18"/>
          <w:szCs w:val="18"/>
          <w:b w:val="1"/>
          <w:bCs w:val="1"/>
          <w:color w:val="auto"/>
        </w:rPr>
      </w:pPr>
      <w:r>
        <w:rPr>
          <w:rFonts w:ascii="Arial" w:cs="Arial" w:eastAsia="Arial" w:hAnsi="Arial"/>
          <w:sz w:val="18"/>
          <w:szCs w:val="18"/>
          <w:color w:val="auto"/>
        </w:rPr>
        <w:t>8F, New Bund Oriental Plaza II 556 West Haiyang Road Pudong, Shanghai</w:t>
      </w:r>
    </w:p>
    <w:p>
      <w:pPr>
        <w:spacing w:after="0" w:line="2" w:lineRule="exact"/>
        <w:rPr>
          <w:rFonts w:ascii="Arial" w:cs="Arial" w:eastAsia="Arial" w:hAnsi="Arial"/>
          <w:sz w:val="18"/>
          <w:szCs w:val="18"/>
          <w:b w:val="1"/>
          <w:bCs w:val="1"/>
          <w:color w:val="auto"/>
        </w:rPr>
      </w:pPr>
    </w:p>
    <w:p>
      <w:pPr>
        <w:ind w:left="444"/>
        <w:spacing w:after="0"/>
        <w:rPr>
          <w:rFonts w:ascii="Arial" w:cs="Arial" w:eastAsia="Arial" w:hAnsi="Arial"/>
          <w:sz w:val="18"/>
          <w:szCs w:val="18"/>
          <w:b w:val="1"/>
          <w:bCs w:val="1"/>
          <w:color w:val="auto"/>
        </w:rPr>
      </w:pPr>
      <w:r>
        <w:rPr>
          <w:rFonts w:ascii="Arial" w:cs="Arial" w:eastAsia="Arial" w:hAnsi="Arial"/>
          <w:sz w:val="18"/>
          <w:szCs w:val="18"/>
          <w:color w:val="auto"/>
        </w:rPr>
        <w:t>People’s Republic of China</w:t>
      </w:r>
    </w:p>
    <w:p>
      <w:pPr>
        <w:spacing w:after="0" w:line="355" w:lineRule="exact"/>
        <w:rPr>
          <w:sz w:val="20"/>
          <w:szCs w:val="20"/>
          <w:color w:val="auto"/>
        </w:rPr>
      </w:pPr>
    </w:p>
    <w:p>
      <w:pPr>
        <w:ind w:left="4"/>
        <w:spacing w:after="0"/>
        <w:rPr>
          <w:sz w:val="20"/>
          <w:szCs w:val="20"/>
          <w:color w:val="auto"/>
        </w:rPr>
      </w:pPr>
      <w:r>
        <w:rPr>
          <w:rFonts w:ascii="Arial" w:cs="Arial" w:eastAsia="Arial" w:hAnsi="Arial"/>
          <w:sz w:val="18"/>
          <w:szCs w:val="18"/>
          <w:b w:val="1"/>
          <w:bCs w:val="1"/>
          <w:color w:val="auto"/>
        </w:rPr>
        <w:t>Item 2.</w:t>
      </w:r>
    </w:p>
    <w:p>
      <w:pPr>
        <w:spacing w:after="0" w:line="131" w:lineRule="exact"/>
        <w:rPr>
          <w:sz w:val="20"/>
          <w:szCs w:val="20"/>
          <w:color w:val="auto"/>
        </w:rPr>
      </w:pPr>
    </w:p>
    <w:p>
      <w:pPr>
        <w:ind w:left="424" w:hanging="424"/>
        <w:spacing w:after="0"/>
        <w:tabs>
          <w:tab w:leader="none" w:pos="424"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Name of Person Filing:</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7"/>
        </w:numPr>
        <w:rPr>
          <w:rFonts w:ascii="Arial" w:cs="Arial" w:eastAsia="Arial" w:hAnsi="Arial"/>
          <w:sz w:val="18"/>
          <w:szCs w:val="18"/>
          <w:color w:val="auto"/>
        </w:rPr>
      </w:pPr>
      <w:r>
        <w:rPr>
          <w:rFonts w:ascii="Arial" w:cs="Arial" w:eastAsia="Arial" w:hAnsi="Arial"/>
          <w:sz w:val="18"/>
          <w:szCs w:val="18"/>
          <w:color w:val="auto"/>
        </w:rPr>
        <w:t>Xiaojun Zhang, a citizen of the People’s Republic of China; and</w:t>
      </w:r>
    </w:p>
    <w:p>
      <w:pPr>
        <w:spacing w:after="0" w:line="130" w:lineRule="exact"/>
        <w:rPr>
          <w:rFonts w:ascii="Arial" w:cs="Arial" w:eastAsia="Arial" w:hAnsi="Arial"/>
          <w:sz w:val="18"/>
          <w:szCs w:val="18"/>
          <w:color w:val="auto"/>
        </w:rPr>
      </w:pPr>
    </w:p>
    <w:p>
      <w:pPr>
        <w:ind w:left="964" w:hanging="532"/>
        <w:spacing w:after="0" w:line="277" w:lineRule="auto"/>
        <w:tabs>
          <w:tab w:leader="none" w:pos="964" w:val="left"/>
        </w:tabs>
        <w:numPr>
          <w:ilvl w:val="1"/>
          <w:numId w:val="7"/>
        </w:numPr>
        <w:rPr>
          <w:rFonts w:ascii="Arial" w:cs="Arial" w:eastAsia="Arial" w:hAnsi="Arial"/>
          <w:sz w:val="18"/>
          <w:szCs w:val="18"/>
          <w:color w:val="auto"/>
        </w:rPr>
      </w:pPr>
      <w:r>
        <w:rPr>
          <w:rFonts w:ascii="Arial" w:cs="Arial" w:eastAsia="Arial" w:hAnsi="Arial"/>
          <w:sz w:val="18"/>
          <w:szCs w:val="18"/>
          <w:color w:val="auto"/>
        </w:rPr>
        <w:t>Eagle Central Holding Limited (“Eagle Central”), a company organized under the law of the British Virgin Islands and is wholly owned by Xiaojun Zhang.</w:t>
      </w:r>
    </w:p>
    <w:p>
      <w:pPr>
        <w:spacing w:after="0" w:line="314" w:lineRule="exact"/>
        <w:rPr>
          <w:rFonts w:ascii="Arial" w:cs="Arial" w:eastAsia="Arial" w:hAnsi="Arial"/>
          <w:sz w:val="18"/>
          <w:szCs w:val="18"/>
          <w:color w:val="auto"/>
        </w:rPr>
      </w:pPr>
    </w:p>
    <w:p>
      <w:pPr>
        <w:ind w:left="424" w:hanging="424"/>
        <w:spacing w:after="0"/>
        <w:tabs>
          <w:tab w:leader="none" w:pos="424"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Address of Principal Business Office or, if None, Residence:</w:t>
      </w:r>
    </w:p>
    <w:p>
      <w:pPr>
        <w:spacing w:after="0" w:line="134" w:lineRule="exact"/>
        <w:rPr>
          <w:rFonts w:ascii="Arial" w:cs="Arial" w:eastAsia="Arial" w:hAnsi="Arial"/>
          <w:sz w:val="18"/>
          <w:szCs w:val="18"/>
          <w:b w:val="1"/>
          <w:bCs w:val="1"/>
          <w:color w:val="auto"/>
        </w:rPr>
      </w:pPr>
    </w:p>
    <w:p>
      <w:pPr>
        <w:ind w:left="964" w:hanging="532"/>
        <w:spacing w:after="0"/>
        <w:tabs>
          <w:tab w:leader="none" w:pos="964" w:val="left"/>
        </w:tabs>
        <w:numPr>
          <w:ilvl w:val="1"/>
          <w:numId w:val="7"/>
        </w:numPr>
        <w:rPr>
          <w:rFonts w:ascii="Arial" w:cs="Arial" w:eastAsia="Arial" w:hAnsi="Arial"/>
          <w:sz w:val="16"/>
          <w:szCs w:val="16"/>
          <w:color w:val="auto"/>
        </w:rPr>
      </w:pPr>
      <w:r>
        <w:rPr>
          <w:rFonts w:ascii="Arial" w:cs="Arial" w:eastAsia="Arial" w:hAnsi="Arial"/>
          <w:sz w:val="16"/>
          <w:szCs w:val="16"/>
          <w:color w:val="auto"/>
        </w:rPr>
        <w:t>The address of Xiaojun Zhang is 8F, New Bund Oriental Plaza II, 556 West Haiyang Road, Pudong, Shanghai, People’s Republic of China.</w:t>
      </w:r>
    </w:p>
    <w:p>
      <w:pPr>
        <w:spacing w:after="0" w:line="153" w:lineRule="exact"/>
        <w:rPr>
          <w:rFonts w:ascii="Arial" w:cs="Arial" w:eastAsia="Arial" w:hAnsi="Arial"/>
          <w:sz w:val="16"/>
          <w:szCs w:val="16"/>
          <w:color w:val="auto"/>
        </w:rPr>
      </w:pPr>
    </w:p>
    <w:p>
      <w:pPr>
        <w:ind w:left="964" w:right="160" w:hanging="532"/>
        <w:spacing w:after="0" w:line="277" w:lineRule="auto"/>
        <w:tabs>
          <w:tab w:leader="none" w:pos="964" w:val="left"/>
        </w:tabs>
        <w:numPr>
          <w:ilvl w:val="1"/>
          <w:numId w:val="7"/>
        </w:numPr>
        <w:rPr>
          <w:rFonts w:ascii="Arial" w:cs="Arial" w:eastAsia="Arial" w:hAnsi="Arial"/>
          <w:sz w:val="18"/>
          <w:szCs w:val="18"/>
          <w:color w:val="auto"/>
        </w:rPr>
      </w:pPr>
      <w:r>
        <w:rPr>
          <w:rFonts w:ascii="Arial" w:cs="Arial" w:eastAsia="Arial" w:hAnsi="Arial"/>
          <w:sz w:val="18"/>
          <w:szCs w:val="18"/>
          <w:color w:val="auto"/>
        </w:rPr>
        <w:t>The registered address of Eagle Central is the offices of Sertus Incorporations (BVI) Limited, Sertus Chambers, P.O. Box 905, Quastisky Building, Road Town, Tortola VG1110, British Virgin Islands.</w:t>
      </w:r>
    </w:p>
    <w:p>
      <w:pPr>
        <w:spacing w:after="0" w:line="314" w:lineRule="exact"/>
        <w:rPr>
          <w:rFonts w:ascii="Arial" w:cs="Arial" w:eastAsia="Arial" w:hAnsi="Arial"/>
          <w:sz w:val="18"/>
          <w:szCs w:val="18"/>
          <w:color w:val="auto"/>
        </w:rPr>
      </w:pPr>
    </w:p>
    <w:p>
      <w:pPr>
        <w:ind w:left="424" w:hanging="424"/>
        <w:spacing w:after="0"/>
        <w:tabs>
          <w:tab w:leader="none" w:pos="424"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Citizenship:</w:t>
      </w:r>
    </w:p>
    <w:p>
      <w:pPr>
        <w:spacing w:after="0" w:line="121" w:lineRule="exact"/>
        <w:rPr>
          <w:rFonts w:ascii="Arial" w:cs="Arial" w:eastAsia="Arial" w:hAnsi="Arial"/>
          <w:sz w:val="18"/>
          <w:szCs w:val="18"/>
          <w:b w:val="1"/>
          <w:bCs w:val="1"/>
          <w:color w:val="auto"/>
        </w:rPr>
      </w:pPr>
    </w:p>
    <w:p>
      <w:pPr>
        <w:ind w:left="444"/>
        <w:spacing w:after="0"/>
        <w:rPr>
          <w:rFonts w:ascii="Arial" w:cs="Arial" w:eastAsia="Arial" w:hAnsi="Arial"/>
          <w:sz w:val="18"/>
          <w:szCs w:val="18"/>
          <w:b w:val="1"/>
          <w:bCs w:val="1"/>
          <w:color w:val="auto"/>
        </w:rPr>
      </w:pPr>
      <w:r>
        <w:rPr>
          <w:rFonts w:ascii="Arial" w:cs="Arial" w:eastAsia="Arial" w:hAnsi="Arial"/>
          <w:sz w:val="18"/>
          <w:szCs w:val="18"/>
          <w:color w:val="auto"/>
        </w:rPr>
        <w:t>Xiaojun Zhang is a citizen of the People’s Republic of China. Eagle Central is organized under the law of the British Virgin Islands.</w:t>
      </w:r>
    </w:p>
    <w:p>
      <w:pPr>
        <w:spacing w:after="0" w:line="369" w:lineRule="exact"/>
        <w:rPr>
          <w:rFonts w:ascii="Arial" w:cs="Arial" w:eastAsia="Arial" w:hAnsi="Arial"/>
          <w:sz w:val="18"/>
          <w:szCs w:val="18"/>
          <w:b w:val="1"/>
          <w:bCs w:val="1"/>
          <w:color w:val="auto"/>
        </w:rPr>
      </w:pPr>
    </w:p>
    <w:p>
      <w:pPr>
        <w:ind w:left="424" w:hanging="424"/>
        <w:spacing w:after="0"/>
        <w:tabs>
          <w:tab w:leader="none" w:pos="424"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Title and Class of Securities:</w:t>
      </w:r>
    </w:p>
    <w:p>
      <w:pPr>
        <w:spacing w:after="0" w:line="117" w:lineRule="exact"/>
        <w:rPr>
          <w:rFonts w:ascii="Arial" w:cs="Arial" w:eastAsia="Arial" w:hAnsi="Arial"/>
          <w:sz w:val="18"/>
          <w:szCs w:val="18"/>
          <w:b w:val="1"/>
          <w:bCs w:val="1"/>
          <w:color w:val="auto"/>
        </w:rPr>
      </w:pPr>
    </w:p>
    <w:p>
      <w:pPr>
        <w:ind w:left="444" w:right="120"/>
        <w:spacing w:after="0" w:line="347" w:lineRule="auto"/>
        <w:rPr>
          <w:rFonts w:ascii="Arial" w:cs="Arial" w:eastAsia="Arial" w:hAnsi="Arial"/>
          <w:sz w:val="18"/>
          <w:szCs w:val="18"/>
          <w:b w:val="1"/>
          <w:bCs w:val="1"/>
          <w:color w:val="auto"/>
        </w:rPr>
      </w:pPr>
      <w:r>
        <w:rPr>
          <w:rFonts w:ascii="Arial" w:cs="Arial" w:eastAsia="Arial" w:hAnsi="Arial"/>
          <w:sz w:val="16"/>
          <w:szCs w:val="16"/>
          <w:color w:val="auto"/>
        </w:rPr>
        <w:t xml:space="preserve">Class A ordinary shares, par value US$0.0001 </w:t>
      </w:r>
      <w:r>
        <w:rPr>
          <w:rFonts w:ascii="Arial" w:cs="Arial" w:eastAsia="Arial" w:hAnsi="Arial"/>
          <w:sz w:val="16"/>
          <w:szCs w:val="16"/>
          <w:b w:val="1"/>
          <w:bCs w:val="1"/>
          <w:color w:val="auto"/>
        </w:rPr>
        <w:t>per share. Each Class B ordinary share is convertible into one Class A ordinary share at any</w:t>
      </w:r>
      <w:r>
        <w:rPr>
          <w:rFonts w:ascii="Arial" w:cs="Arial" w:eastAsia="Arial" w:hAnsi="Arial"/>
          <w:sz w:val="16"/>
          <w:szCs w:val="16"/>
          <w:color w:val="auto"/>
        </w:rPr>
        <w:t xml:space="preserve"> </w:t>
      </w:r>
      <w:r>
        <w:rPr>
          <w:rFonts w:ascii="Arial" w:cs="Arial" w:eastAsia="Arial" w:hAnsi="Arial"/>
          <w:sz w:val="16"/>
          <w:szCs w:val="16"/>
          <w:b w:val="1"/>
          <w:bCs w:val="1"/>
          <w:color w:val="auto"/>
        </w:rPr>
        <w:t>time by the holder thereof. Class A ordinary shares are not convertible into Class B ordinary shares under any circumstances.</w:t>
      </w:r>
    </w:p>
    <w:p>
      <w:pPr>
        <w:spacing w:after="0" w:line="264" w:lineRule="exact"/>
        <w:rPr>
          <w:rFonts w:ascii="Arial" w:cs="Arial" w:eastAsia="Arial" w:hAnsi="Arial"/>
          <w:sz w:val="18"/>
          <w:szCs w:val="18"/>
          <w:b w:val="1"/>
          <w:bCs w:val="1"/>
          <w:color w:val="auto"/>
        </w:rPr>
      </w:pPr>
    </w:p>
    <w:p>
      <w:pPr>
        <w:jc w:val="both"/>
        <w:ind w:left="444" w:right="9640" w:hanging="444"/>
        <w:spacing w:after="0" w:line="445" w:lineRule="auto"/>
        <w:tabs>
          <w:tab w:leader="none" w:pos="436" w:val="left"/>
        </w:tabs>
        <w:numPr>
          <w:ilvl w:val="0"/>
          <w:numId w:val="7"/>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CUSIP No.: </w:t>
      </w:r>
      <w:r>
        <w:rPr>
          <w:rFonts w:ascii="Arial" w:cs="Arial" w:eastAsia="Arial" w:hAnsi="Arial"/>
          <w:sz w:val="17"/>
          <w:szCs w:val="17"/>
          <w:color w:val="auto"/>
        </w:rPr>
        <w:t>137586 103</w:t>
      </w:r>
    </w:p>
    <w:p>
      <w:pPr>
        <w:spacing w:after="0" w:line="180" w:lineRule="exact"/>
        <w:rPr>
          <w:sz w:val="20"/>
          <w:szCs w:val="20"/>
          <w:color w:val="auto"/>
        </w:rPr>
      </w:pPr>
    </w:p>
    <w:p>
      <w:pPr>
        <w:ind w:left="4"/>
        <w:spacing w:after="0"/>
        <w:tabs>
          <w:tab w:leader="none" w:pos="964" w:val="left"/>
        </w:tabs>
        <w:rPr>
          <w:sz w:val="20"/>
          <w:szCs w:val="20"/>
          <w:color w:val="auto"/>
        </w:rPr>
      </w:pPr>
      <w:r>
        <w:rPr>
          <w:rFonts w:ascii="Arial" w:cs="Arial" w:eastAsia="Arial" w:hAnsi="Arial"/>
          <w:sz w:val="18"/>
          <w:szCs w:val="18"/>
          <w:b w:val="1"/>
          <w:bCs w:val="1"/>
          <w:color w:val="auto"/>
        </w:rPr>
        <w:t>Item 3.</w:t>
      </w:r>
      <w:r>
        <w:rPr>
          <w:sz w:val="20"/>
          <w:szCs w:val="20"/>
          <w:color w:val="auto"/>
        </w:rPr>
        <w:tab/>
      </w:r>
      <w:r>
        <w:rPr>
          <w:rFonts w:ascii="Arial" w:cs="Arial" w:eastAsia="Arial" w:hAnsi="Arial"/>
          <w:sz w:val="16"/>
          <w:szCs w:val="16"/>
          <w:b w:val="1"/>
          <w:bCs w:val="1"/>
          <w:color w:val="auto"/>
        </w:rPr>
        <w:t>If this statement is filed pursuant to §§ 240.13d-1(b), or 240.13d-2(b) or (c), check whether the person filing is a:</w:t>
      </w:r>
    </w:p>
    <w:p>
      <w:pPr>
        <w:spacing w:after="0" w:line="121" w:lineRule="exact"/>
        <w:rPr>
          <w:sz w:val="20"/>
          <w:szCs w:val="20"/>
          <w:color w:val="auto"/>
        </w:rPr>
      </w:pPr>
    </w:p>
    <w:p>
      <w:pPr>
        <w:ind w:left="444"/>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jc w:val="center"/>
        <w:ind w:right="-23"/>
        <w:spacing w:after="0"/>
        <w:rPr>
          <w:sz w:val="20"/>
          <w:szCs w:val="20"/>
          <w:color w:val="auto"/>
        </w:rPr>
      </w:pPr>
      <w:r>
        <w:rPr>
          <w:rFonts w:ascii="Arial" w:cs="Arial" w:eastAsia="Arial" w:hAnsi="Arial"/>
          <w:sz w:val="18"/>
          <w:szCs w:val="18"/>
          <w:color w:val="auto"/>
        </w:rPr>
        <w:t>Page 4 of 8</w:t>
      </w:r>
    </w:p>
    <w:p>
      <w:pPr>
        <w:sectPr>
          <w:pgSz w:w="11900" w:h="16838" w:orient="portrait"/>
          <w:cols w:equalWidth="0" w:num="1">
            <w:col w:w="10984"/>
          </w:cols>
          <w:pgMar w:left="436" w:top="634" w:right="479" w:bottom="1440" w:gutter="0" w:footer="0" w:header="0"/>
        </w:sectPr>
      </w:pPr>
    </w:p>
    <w:bookmarkStart w:id="4" w:name="page5"/>
    <w:bookmarkEnd w:id="4"/>
    <w:tbl>
      <w:tblPr>
        <w:tblLayout w:type="fixed"/>
        <w:tblInd w:w="4" w:type="dxa"/>
        <w:tblCellMar>
          <w:top w:w="0" w:type="dxa"/>
          <w:left w:w="0" w:type="dxa"/>
          <w:bottom w:w="0" w:type="dxa"/>
          <w:right w:w="0" w:type="dxa"/>
        </w:tblCellMar>
      </w:tblPr>
      <w:tr>
        <w:trPr>
          <w:trHeight w:val="234"/>
        </w:trPr>
        <w:tc>
          <w:tcPr>
            <w:tcW w:w="1080" w:type="dxa"/>
            <w:vAlign w:val="bottom"/>
            <w:gridSpan w:val="2"/>
          </w:tcPr>
          <w:p>
            <w:pPr>
              <w:spacing w:after="0"/>
              <w:rPr>
                <w:sz w:val="20"/>
                <w:szCs w:val="20"/>
                <w:color w:val="auto"/>
              </w:rPr>
            </w:pPr>
            <w:r>
              <w:rPr>
                <w:rFonts w:ascii="Arial" w:cs="Arial" w:eastAsia="Arial" w:hAnsi="Arial"/>
                <w:sz w:val="18"/>
                <w:szCs w:val="18"/>
                <w:b w:val="1"/>
                <w:bCs w:val="1"/>
                <w:color w:val="auto"/>
              </w:rPr>
              <w:t>Item 4.</w:t>
            </w:r>
          </w:p>
        </w:tc>
        <w:tc>
          <w:tcPr>
            <w:tcW w:w="3920" w:type="dxa"/>
            <w:vAlign w:val="bottom"/>
            <w:gridSpan w:val="3"/>
          </w:tcPr>
          <w:p>
            <w:pPr>
              <w:spacing w:after="0"/>
              <w:rPr>
                <w:sz w:val="20"/>
                <w:szCs w:val="20"/>
                <w:color w:val="auto"/>
              </w:rPr>
            </w:pPr>
            <w:r>
              <w:rPr>
                <w:rFonts w:ascii="Arial" w:cs="Arial" w:eastAsia="Arial" w:hAnsi="Arial"/>
                <w:sz w:val="18"/>
                <w:szCs w:val="18"/>
                <w:b w:val="1"/>
                <w:bCs w:val="1"/>
                <w:color w:val="auto"/>
              </w:rPr>
              <w:t>Ownership</w:t>
            </w:r>
          </w:p>
        </w:tc>
        <w:tc>
          <w:tcPr>
            <w:tcW w:w="580" w:type="dxa"/>
            <w:vAlign w:val="bottom"/>
          </w:tcPr>
          <w:p>
            <w:pPr>
              <w:spacing w:after="0"/>
              <w:rPr>
                <w:sz w:val="20"/>
                <w:szCs w:val="20"/>
                <w:color w:val="auto"/>
              </w:rPr>
            </w:pPr>
          </w:p>
        </w:tc>
        <w:tc>
          <w:tcPr>
            <w:tcW w:w="38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69"/>
        </w:trPr>
        <w:tc>
          <w:tcPr>
            <w:tcW w:w="64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28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4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2"/>
              </w:rPr>
              <w:t>Shared</w:t>
            </w:r>
          </w:p>
        </w:tc>
        <w:tc>
          <w:tcPr>
            <w:tcW w:w="11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90"/>
              </w:rPr>
              <w:t>Sole power</w:t>
            </w:r>
          </w:p>
        </w:tc>
        <w:tc>
          <w:tcPr>
            <w:tcW w:w="8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90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0"/>
              </w:rPr>
              <w:t>Percentage</w:t>
            </w:r>
          </w:p>
        </w:tc>
        <w:tc>
          <w:tcPr>
            <w:tcW w:w="0" w:type="dxa"/>
            <w:vAlign w:val="bottom"/>
          </w:tcPr>
          <w:p>
            <w:pPr>
              <w:spacing w:after="0"/>
              <w:rPr>
                <w:sz w:val="1"/>
                <w:szCs w:val="1"/>
                <w:color w:val="auto"/>
              </w:rPr>
            </w:pPr>
          </w:p>
        </w:tc>
      </w:tr>
      <w:tr>
        <w:trPr>
          <w:trHeight w:val="149"/>
        </w:trPr>
        <w:tc>
          <w:tcPr>
            <w:tcW w:w="6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5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10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0"/>
              </w:rPr>
              <w:t>Sole power</w:t>
            </w:r>
          </w:p>
        </w:tc>
        <w:tc>
          <w:tcPr>
            <w:tcW w:w="840" w:type="dxa"/>
            <w:vAlign w:val="bottom"/>
            <w:gridSpan w:val="2"/>
            <w:vMerge w:val="continue"/>
          </w:tcPr>
          <w:p>
            <w:pPr>
              <w:spacing w:after="0"/>
              <w:rPr>
                <w:sz w:val="12"/>
                <w:szCs w:val="12"/>
                <w:color w:val="auto"/>
              </w:rPr>
            </w:pP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0"/>
              </w:rPr>
              <w:t>to</w:t>
            </w:r>
          </w:p>
        </w:tc>
        <w:tc>
          <w:tcPr>
            <w:tcW w:w="110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2"/>
              </w:rPr>
              <w:t>Shared power</w:t>
            </w:r>
          </w:p>
        </w:tc>
        <w:tc>
          <w:tcPr>
            <w:tcW w:w="900" w:type="dxa"/>
            <w:vAlign w:val="bottom"/>
            <w:gridSpan w:val="2"/>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64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2800" w:type="dxa"/>
            <w:vAlign w:val="bottom"/>
          </w:tcPr>
          <w:p>
            <w:pPr>
              <w:spacing w:after="0"/>
              <w:rPr>
                <w:sz w:val="12"/>
                <w:szCs w:val="12"/>
                <w:color w:val="auto"/>
              </w:rPr>
            </w:pPr>
          </w:p>
        </w:tc>
        <w:tc>
          <w:tcPr>
            <w:tcW w:w="1120" w:type="dxa"/>
            <w:vAlign w:val="bottom"/>
            <w:gridSpan w:val="2"/>
            <w:vMerge w:val="restart"/>
          </w:tcPr>
          <w:p>
            <w:pPr>
              <w:jc w:val="center"/>
              <w:ind w:right="260"/>
              <w:spacing w:after="0"/>
              <w:rPr>
                <w:sz w:val="20"/>
                <w:szCs w:val="20"/>
                <w:color w:val="auto"/>
              </w:rPr>
            </w:pPr>
            <w:r>
              <w:rPr>
                <w:rFonts w:ascii="Arial" w:cs="Arial" w:eastAsia="Arial" w:hAnsi="Arial"/>
                <w:sz w:val="14"/>
                <w:szCs w:val="14"/>
                <w:b w:val="1"/>
                <w:bCs w:val="1"/>
                <w:color w:val="auto"/>
                <w:w w:val="94"/>
              </w:rPr>
              <w:t>Amount</w:t>
            </w:r>
          </w:p>
        </w:tc>
        <w:tc>
          <w:tcPr>
            <w:tcW w:w="580" w:type="dxa"/>
            <w:vAlign w:val="bottom"/>
          </w:tcPr>
          <w:p>
            <w:pPr>
              <w:spacing w:after="0"/>
              <w:rPr>
                <w:sz w:val="12"/>
                <w:szCs w:val="12"/>
                <w:color w:val="auto"/>
              </w:rPr>
            </w:pPr>
          </w:p>
        </w:tc>
        <w:tc>
          <w:tcPr>
            <w:tcW w:w="380" w:type="dxa"/>
            <w:vAlign w:val="bottom"/>
          </w:tcPr>
          <w:p>
            <w:pPr>
              <w:spacing w:after="0"/>
              <w:rPr>
                <w:sz w:val="12"/>
                <w:szCs w:val="12"/>
                <w:color w:val="auto"/>
              </w:rPr>
            </w:pPr>
          </w:p>
        </w:tc>
        <w:tc>
          <w:tcPr>
            <w:tcW w:w="1100" w:type="dxa"/>
            <w:vAlign w:val="bottom"/>
            <w:gridSpan w:val="2"/>
            <w:vMerge w:val="continue"/>
          </w:tcPr>
          <w:p>
            <w:pPr>
              <w:spacing w:after="0"/>
              <w:rPr>
                <w:sz w:val="12"/>
                <w:szCs w:val="12"/>
                <w:color w:val="auto"/>
              </w:rPr>
            </w:pPr>
          </w:p>
        </w:tc>
        <w:tc>
          <w:tcPr>
            <w:tcW w:w="84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2"/>
              </w:rPr>
              <w:t>power to</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6"/>
              </w:rPr>
              <w:t>dispose or to</w:t>
            </w:r>
          </w:p>
        </w:tc>
        <w:tc>
          <w:tcPr>
            <w:tcW w:w="1100" w:type="dxa"/>
            <w:vAlign w:val="bottom"/>
            <w:gridSpan w:val="2"/>
            <w:vMerge w:val="continue"/>
          </w:tcPr>
          <w:p>
            <w:pPr>
              <w:spacing w:after="0"/>
              <w:rPr>
                <w:sz w:val="12"/>
                <w:szCs w:val="12"/>
                <w:color w:val="auto"/>
              </w:rPr>
            </w:pPr>
          </w:p>
        </w:tc>
        <w:tc>
          <w:tcPr>
            <w:tcW w:w="9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0"/>
              </w:rPr>
              <w:t>of</w:t>
            </w:r>
          </w:p>
        </w:tc>
        <w:tc>
          <w:tcPr>
            <w:tcW w:w="0" w:type="dxa"/>
            <w:vAlign w:val="bottom"/>
          </w:tcPr>
          <w:p>
            <w:pPr>
              <w:spacing w:after="0"/>
              <w:rPr>
                <w:sz w:val="1"/>
                <w:szCs w:val="1"/>
                <w:color w:val="auto"/>
              </w:rPr>
            </w:pPr>
          </w:p>
        </w:tc>
      </w:tr>
      <w:tr>
        <w:trPr>
          <w:trHeight w:val="148"/>
        </w:trPr>
        <w:tc>
          <w:tcPr>
            <w:tcW w:w="108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Reporting</w:t>
            </w:r>
          </w:p>
        </w:tc>
        <w:tc>
          <w:tcPr>
            <w:tcW w:w="280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960" w:type="dxa"/>
            <w:vAlign w:val="bottom"/>
            <w:gridSpan w:val="2"/>
            <w:vMerge w:val="restart"/>
          </w:tcPr>
          <w:p>
            <w:pPr>
              <w:jc w:val="right"/>
              <w:ind w:right="440"/>
              <w:spacing w:after="0"/>
              <w:rPr>
                <w:sz w:val="20"/>
                <w:szCs w:val="20"/>
                <w:color w:val="auto"/>
              </w:rPr>
            </w:pPr>
            <w:r>
              <w:rPr>
                <w:rFonts w:ascii="Arial" w:cs="Arial" w:eastAsia="Arial" w:hAnsi="Arial"/>
                <w:sz w:val="14"/>
                <w:szCs w:val="14"/>
                <w:b w:val="1"/>
                <w:bCs w:val="1"/>
                <w:color w:val="auto"/>
                <w:w w:val="97"/>
              </w:rPr>
              <w:t>Percent</w:t>
            </w:r>
          </w:p>
        </w:tc>
        <w:tc>
          <w:tcPr>
            <w:tcW w:w="11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0"/>
              </w:rPr>
              <w:t>to vote or</w:t>
            </w:r>
          </w:p>
        </w:tc>
        <w:tc>
          <w:tcPr>
            <w:tcW w:w="84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90"/>
              </w:rPr>
              <w:t>vote or to</w:t>
            </w:r>
          </w:p>
        </w:tc>
        <w:tc>
          <w:tcPr>
            <w:tcW w:w="112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95"/>
              </w:rPr>
              <w:t>direct the</w:t>
            </w:r>
          </w:p>
        </w:tc>
        <w:tc>
          <w:tcPr>
            <w:tcW w:w="1100" w:type="dxa"/>
            <w:vAlign w:val="bottom"/>
            <w:gridSpan w:val="2"/>
          </w:tcPr>
          <w:p>
            <w:pPr>
              <w:jc w:val="center"/>
              <w:ind w:right="240"/>
              <w:spacing w:after="0" w:line="149" w:lineRule="exact"/>
              <w:rPr>
                <w:sz w:val="20"/>
                <w:szCs w:val="20"/>
                <w:color w:val="auto"/>
              </w:rPr>
            </w:pPr>
            <w:r>
              <w:rPr>
                <w:rFonts w:ascii="Arial" w:cs="Arial" w:eastAsia="Arial" w:hAnsi="Arial"/>
                <w:sz w:val="14"/>
                <w:szCs w:val="14"/>
                <w:b w:val="1"/>
                <w:bCs w:val="1"/>
                <w:color w:val="auto"/>
                <w:w w:val="88"/>
              </w:rPr>
              <w:t>to dispose or</w:t>
            </w:r>
          </w:p>
        </w:tc>
        <w:tc>
          <w:tcPr>
            <w:tcW w:w="90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9"/>
              </w:rPr>
              <w:t>aggregate</w:t>
            </w:r>
          </w:p>
        </w:tc>
        <w:tc>
          <w:tcPr>
            <w:tcW w:w="0" w:type="dxa"/>
            <w:vAlign w:val="bottom"/>
          </w:tcPr>
          <w:p>
            <w:pPr>
              <w:spacing w:after="0"/>
              <w:rPr>
                <w:sz w:val="1"/>
                <w:szCs w:val="1"/>
                <w:color w:val="auto"/>
              </w:rPr>
            </w:pPr>
          </w:p>
        </w:tc>
      </w:tr>
      <w:tr>
        <w:trPr>
          <w:trHeight w:val="144"/>
        </w:trPr>
        <w:tc>
          <w:tcPr>
            <w:tcW w:w="1080" w:type="dxa"/>
            <w:vAlign w:val="bottom"/>
            <w:gridSpan w:val="2"/>
            <w:vMerge w:val="continue"/>
          </w:tcPr>
          <w:p>
            <w:pPr>
              <w:spacing w:after="0"/>
              <w:rPr>
                <w:sz w:val="12"/>
                <w:szCs w:val="12"/>
                <w:color w:val="auto"/>
              </w:rPr>
            </w:pPr>
          </w:p>
        </w:tc>
        <w:tc>
          <w:tcPr>
            <w:tcW w:w="2800" w:type="dxa"/>
            <w:vAlign w:val="bottom"/>
          </w:tcPr>
          <w:p>
            <w:pPr>
              <w:spacing w:after="0"/>
              <w:rPr>
                <w:sz w:val="12"/>
                <w:szCs w:val="12"/>
                <w:color w:val="auto"/>
              </w:rPr>
            </w:pPr>
          </w:p>
        </w:tc>
        <w:tc>
          <w:tcPr>
            <w:tcW w:w="1120" w:type="dxa"/>
            <w:vAlign w:val="bottom"/>
            <w:gridSpan w:val="2"/>
          </w:tcPr>
          <w:p>
            <w:pPr>
              <w:jc w:val="center"/>
              <w:ind w:right="260"/>
              <w:spacing w:after="0" w:line="145" w:lineRule="exact"/>
              <w:rPr>
                <w:sz w:val="20"/>
                <w:szCs w:val="20"/>
                <w:color w:val="auto"/>
              </w:rPr>
            </w:pPr>
            <w:r>
              <w:rPr>
                <w:rFonts w:ascii="Arial" w:cs="Arial" w:eastAsia="Arial" w:hAnsi="Arial"/>
                <w:sz w:val="14"/>
                <w:szCs w:val="14"/>
                <w:b w:val="1"/>
                <w:bCs w:val="1"/>
                <w:color w:val="auto"/>
                <w:w w:val="91"/>
              </w:rPr>
              <w:t>beneficially</w:t>
            </w:r>
          </w:p>
        </w:tc>
        <w:tc>
          <w:tcPr>
            <w:tcW w:w="960" w:type="dxa"/>
            <w:vAlign w:val="bottom"/>
            <w:gridSpan w:val="2"/>
            <w:vMerge w:val="continue"/>
          </w:tcPr>
          <w:p>
            <w:pPr>
              <w:spacing w:after="0"/>
              <w:rPr>
                <w:sz w:val="12"/>
                <w:szCs w:val="12"/>
                <w:color w:val="auto"/>
              </w:rPr>
            </w:pPr>
          </w:p>
        </w:tc>
        <w:tc>
          <w:tcPr>
            <w:tcW w:w="1100" w:type="dxa"/>
            <w:vAlign w:val="bottom"/>
            <w:gridSpan w:val="2"/>
          </w:tcPr>
          <w:p>
            <w:pPr>
              <w:jc w:val="center"/>
              <w:ind w:right="220"/>
              <w:spacing w:after="0" w:line="145" w:lineRule="exact"/>
              <w:rPr>
                <w:sz w:val="20"/>
                <w:szCs w:val="20"/>
                <w:color w:val="auto"/>
              </w:rPr>
            </w:pPr>
            <w:r>
              <w:rPr>
                <w:rFonts w:ascii="Arial" w:cs="Arial" w:eastAsia="Arial" w:hAnsi="Arial"/>
                <w:sz w:val="14"/>
                <w:szCs w:val="14"/>
                <w:b w:val="1"/>
                <w:bCs w:val="1"/>
                <w:color w:val="auto"/>
                <w:w w:val="94"/>
              </w:rPr>
              <w:t>direct to</w:t>
            </w:r>
          </w:p>
        </w:tc>
        <w:tc>
          <w:tcPr>
            <w:tcW w:w="840" w:type="dxa"/>
            <w:vAlign w:val="bottom"/>
            <w:gridSpan w:val="2"/>
          </w:tcPr>
          <w:p>
            <w:pPr>
              <w:jc w:val="center"/>
              <w:ind w:right="240"/>
              <w:spacing w:after="0" w:line="145" w:lineRule="exact"/>
              <w:rPr>
                <w:sz w:val="20"/>
                <w:szCs w:val="20"/>
                <w:color w:val="auto"/>
              </w:rPr>
            </w:pPr>
            <w:r>
              <w:rPr>
                <w:rFonts w:ascii="Arial" w:cs="Arial" w:eastAsia="Arial" w:hAnsi="Arial"/>
                <w:sz w:val="14"/>
                <w:szCs w:val="14"/>
                <w:b w:val="1"/>
                <w:bCs w:val="1"/>
                <w:color w:val="auto"/>
                <w:w w:val="94"/>
              </w:rPr>
              <w:t>direct</w:t>
            </w:r>
          </w:p>
        </w:tc>
        <w:tc>
          <w:tcPr>
            <w:tcW w:w="1120" w:type="dxa"/>
            <w:vAlign w:val="bottom"/>
            <w:gridSpan w:val="2"/>
          </w:tcPr>
          <w:p>
            <w:pPr>
              <w:jc w:val="center"/>
              <w:ind w:right="240"/>
              <w:spacing w:after="0" w:line="145" w:lineRule="exact"/>
              <w:rPr>
                <w:sz w:val="20"/>
                <w:szCs w:val="20"/>
                <w:color w:val="auto"/>
              </w:rPr>
            </w:pPr>
            <w:r>
              <w:rPr>
                <w:rFonts w:ascii="Arial" w:cs="Arial" w:eastAsia="Arial" w:hAnsi="Arial"/>
                <w:sz w:val="14"/>
                <w:szCs w:val="14"/>
                <w:b w:val="1"/>
                <w:bCs w:val="1"/>
                <w:color w:val="auto"/>
                <w:w w:val="90"/>
              </w:rPr>
              <w:t>disposition</w:t>
            </w:r>
          </w:p>
        </w:tc>
        <w:tc>
          <w:tcPr>
            <w:tcW w:w="1100" w:type="dxa"/>
            <w:vAlign w:val="bottom"/>
            <w:gridSpan w:val="2"/>
          </w:tcPr>
          <w:p>
            <w:pPr>
              <w:jc w:val="center"/>
              <w:ind w:right="240"/>
              <w:spacing w:after="0" w:line="145" w:lineRule="exact"/>
              <w:rPr>
                <w:sz w:val="20"/>
                <w:szCs w:val="20"/>
                <w:color w:val="auto"/>
              </w:rPr>
            </w:pPr>
            <w:r>
              <w:rPr>
                <w:rFonts w:ascii="Arial" w:cs="Arial" w:eastAsia="Arial" w:hAnsi="Arial"/>
                <w:sz w:val="14"/>
                <w:szCs w:val="14"/>
                <w:b w:val="1"/>
                <w:bCs w:val="1"/>
                <w:color w:val="auto"/>
                <w:w w:val="92"/>
              </w:rPr>
              <w:t>to direct the</w:t>
            </w:r>
          </w:p>
        </w:tc>
        <w:tc>
          <w:tcPr>
            <w:tcW w:w="900" w:type="dxa"/>
            <w:vAlign w:val="bottom"/>
            <w:gridSpan w:val="2"/>
          </w:tcPr>
          <w:p>
            <w:pPr>
              <w:jc w:val="center"/>
              <w:ind w:right="200"/>
              <w:spacing w:after="0" w:line="145" w:lineRule="exact"/>
              <w:rPr>
                <w:sz w:val="20"/>
                <w:szCs w:val="20"/>
                <w:color w:val="auto"/>
              </w:rPr>
            </w:pPr>
            <w:r>
              <w:rPr>
                <w:rFonts w:ascii="Arial" w:cs="Arial" w:eastAsia="Arial" w:hAnsi="Arial"/>
                <w:sz w:val="14"/>
                <w:szCs w:val="14"/>
                <w:b w:val="1"/>
                <w:bCs w:val="1"/>
                <w:color w:val="auto"/>
                <w:w w:val="90"/>
              </w:rPr>
              <w:t>voting</w:t>
            </w:r>
          </w:p>
        </w:tc>
        <w:tc>
          <w:tcPr>
            <w:tcW w:w="0" w:type="dxa"/>
            <w:vAlign w:val="bottom"/>
          </w:tcPr>
          <w:p>
            <w:pPr>
              <w:spacing w:after="0"/>
              <w:rPr>
                <w:sz w:val="1"/>
                <w:szCs w:val="1"/>
                <w:color w:val="auto"/>
              </w:rPr>
            </w:pPr>
          </w:p>
        </w:tc>
      </w:tr>
      <w:tr>
        <w:trPr>
          <w:trHeight w:val="162"/>
        </w:trPr>
        <w:tc>
          <w:tcPr>
            <w:tcW w:w="64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w w:val="99"/>
              </w:rPr>
              <w:t>Person</w:t>
            </w:r>
            <w:r>
              <w:rPr>
                <w:rFonts w:ascii="Arial" w:cs="Arial" w:eastAsia="Arial" w:hAnsi="Arial"/>
                <w:sz w:val="12"/>
                <w:szCs w:val="12"/>
                <w:b w:val="1"/>
                <w:bCs w:val="1"/>
                <w:color w:val="auto"/>
                <w:w w:val="99"/>
              </w:rPr>
              <w:t>(1)</w:t>
            </w:r>
          </w:p>
        </w:tc>
        <w:tc>
          <w:tcPr>
            <w:tcW w:w="440" w:type="dxa"/>
            <w:vAlign w:val="bottom"/>
          </w:tcPr>
          <w:p>
            <w:pPr>
              <w:spacing w:after="0"/>
              <w:rPr>
                <w:sz w:val="14"/>
                <w:szCs w:val="14"/>
                <w:color w:val="auto"/>
              </w:rPr>
            </w:pPr>
          </w:p>
        </w:tc>
        <w:tc>
          <w:tcPr>
            <w:tcW w:w="2800" w:type="dxa"/>
            <w:vAlign w:val="bottom"/>
          </w:tcPr>
          <w:p>
            <w:pPr>
              <w:spacing w:after="0"/>
              <w:rPr>
                <w:sz w:val="14"/>
                <w:szCs w:val="14"/>
                <w:color w:val="auto"/>
              </w:rPr>
            </w:pPr>
          </w:p>
        </w:tc>
        <w:tc>
          <w:tcPr>
            <w:tcW w:w="1120" w:type="dxa"/>
            <w:vAlign w:val="bottom"/>
            <w:gridSpan w:val="2"/>
          </w:tcPr>
          <w:p>
            <w:pPr>
              <w:jc w:val="center"/>
              <w:ind w:right="260"/>
              <w:spacing w:after="0"/>
              <w:rPr>
                <w:sz w:val="20"/>
                <w:szCs w:val="20"/>
                <w:color w:val="auto"/>
              </w:rPr>
            </w:pPr>
            <w:r>
              <w:rPr>
                <w:rFonts w:ascii="Arial" w:cs="Arial" w:eastAsia="Arial" w:hAnsi="Arial"/>
                <w:sz w:val="14"/>
                <w:szCs w:val="14"/>
                <w:b w:val="1"/>
                <w:bCs w:val="1"/>
                <w:color w:val="auto"/>
                <w:w w:val="91"/>
              </w:rPr>
              <w:t>owned</w:t>
            </w:r>
            <w:r>
              <w:rPr>
                <w:rFonts w:ascii="Arial" w:cs="Arial" w:eastAsia="Arial" w:hAnsi="Arial"/>
                <w:sz w:val="12"/>
                <w:szCs w:val="12"/>
                <w:b w:val="1"/>
                <w:bCs w:val="1"/>
                <w:color w:val="auto"/>
                <w:w w:val="91"/>
              </w:rPr>
              <w:t>(1)</w:t>
            </w:r>
          </w:p>
        </w:tc>
        <w:tc>
          <w:tcPr>
            <w:tcW w:w="96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w w:val="83"/>
              </w:rPr>
              <w:t>of class</w:t>
            </w:r>
            <w:r>
              <w:rPr>
                <w:rFonts w:ascii="Arial" w:cs="Arial" w:eastAsia="Arial" w:hAnsi="Arial"/>
                <w:sz w:val="12"/>
                <w:szCs w:val="12"/>
                <w:b w:val="1"/>
                <w:bCs w:val="1"/>
                <w:color w:val="auto"/>
                <w:w w:val="83"/>
              </w:rPr>
              <w:t>(2)</w:t>
            </w:r>
          </w:p>
        </w:tc>
        <w:tc>
          <w:tcPr>
            <w:tcW w:w="11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1"/>
              </w:rPr>
              <w:t>vote</w:t>
            </w:r>
            <w:r>
              <w:rPr>
                <w:rFonts w:ascii="Arial" w:cs="Arial" w:eastAsia="Arial" w:hAnsi="Arial"/>
                <w:sz w:val="12"/>
                <w:szCs w:val="12"/>
                <w:b w:val="1"/>
                <w:bCs w:val="1"/>
                <w:color w:val="auto"/>
                <w:w w:val="91"/>
              </w:rPr>
              <w:t>(1)</w:t>
            </w:r>
          </w:p>
        </w:tc>
        <w:tc>
          <w:tcPr>
            <w:tcW w:w="84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the vote</w:t>
            </w:r>
          </w:p>
        </w:tc>
        <w:tc>
          <w:tcPr>
            <w:tcW w:w="112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rPr>
              <w:t>of</w:t>
            </w:r>
            <w:r>
              <w:rPr>
                <w:rFonts w:ascii="Arial" w:cs="Arial" w:eastAsia="Arial" w:hAnsi="Arial"/>
                <w:sz w:val="12"/>
                <w:szCs w:val="12"/>
                <w:b w:val="1"/>
                <w:bCs w:val="1"/>
                <w:color w:val="auto"/>
              </w:rPr>
              <w:t>(1)</w:t>
            </w:r>
          </w:p>
        </w:tc>
        <w:tc>
          <w:tcPr>
            <w:tcW w:w="1100" w:type="dxa"/>
            <w:vAlign w:val="bottom"/>
            <w:gridSpan w:val="2"/>
          </w:tcPr>
          <w:p>
            <w:pPr>
              <w:jc w:val="center"/>
              <w:ind w:right="240"/>
              <w:spacing w:after="0"/>
              <w:rPr>
                <w:sz w:val="20"/>
                <w:szCs w:val="20"/>
                <w:color w:val="auto"/>
              </w:rPr>
            </w:pPr>
            <w:r>
              <w:rPr>
                <w:rFonts w:ascii="Arial" w:cs="Arial" w:eastAsia="Arial" w:hAnsi="Arial"/>
                <w:sz w:val="14"/>
                <w:szCs w:val="14"/>
                <w:b w:val="1"/>
                <w:bCs w:val="1"/>
                <w:color w:val="auto"/>
                <w:w w:val="89"/>
              </w:rPr>
              <w:t>disposition of</w:t>
            </w:r>
          </w:p>
        </w:tc>
        <w:tc>
          <w:tcPr>
            <w:tcW w:w="90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92"/>
              </w:rPr>
              <w:t>power</w:t>
            </w:r>
            <w:r>
              <w:rPr>
                <w:rFonts w:ascii="Arial" w:cs="Arial" w:eastAsia="Arial" w:hAnsi="Arial"/>
                <w:sz w:val="12"/>
                <w:szCs w:val="12"/>
                <w:b w:val="1"/>
                <w:bCs w:val="1"/>
                <w:color w:val="auto"/>
                <w:w w:val="92"/>
              </w:rPr>
              <w:t>(3)</w:t>
            </w:r>
          </w:p>
        </w:tc>
        <w:tc>
          <w:tcPr>
            <w:tcW w:w="0" w:type="dxa"/>
            <w:vAlign w:val="bottom"/>
          </w:tcPr>
          <w:p>
            <w:pPr>
              <w:spacing w:after="0"/>
              <w:rPr>
                <w:sz w:val="1"/>
                <w:szCs w:val="1"/>
                <w:color w:val="auto"/>
              </w:rPr>
            </w:pPr>
          </w:p>
        </w:tc>
      </w:tr>
      <w:tr>
        <w:trPr>
          <w:trHeight w:val="20"/>
        </w:trPr>
        <w:tc>
          <w:tcPr>
            <w:tcW w:w="1080" w:type="dxa"/>
            <w:vAlign w:val="bottom"/>
            <w:gridSpan w:val="2"/>
            <w:vMerge w:val="restart"/>
            <w:shd w:val="clear" w:color="auto" w:fill="CCEEFF"/>
          </w:tcPr>
          <w:p>
            <w:pPr>
              <w:spacing w:after="0"/>
              <w:rPr>
                <w:sz w:val="20"/>
                <w:szCs w:val="20"/>
                <w:color w:val="auto"/>
              </w:rPr>
            </w:pPr>
            <w:r>
              <w:rPr>
                <w:rFonts w:ascii="Arial" w:cs="Arial" w:eastAsia="Arial" w:hAnsi="Arial"/>
                <w:sz w:val="18"/>
                <w:szCs w:val="18"/>
                <w:color w:val="auto"/>
                <w:w w:val="91"/>
              </w:rPr>
              <w:t>Xiaojun Zhang</w:t>
            </w:r>
          </w:p>
        </w:tc>
        <w:tc>
          <w:tcPr>
            <w:tcW w:w="280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60" w:type="dxa"/>
            <w:vAlign w:val="bottom"/>
            <w:vMerge w:val="restart"/>
            <w:shd w:val="clear" w:color="auto" w:fill="CCEEFF"/>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380" w:type="dxa"/>
            <w:vAlign w:val="bottom"/>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88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860" w:type="dxa"/>
            <w:vAlign w:val="bottom"/>
            <w:shd w:val="clear" w:color="auto" w:fill="000000"/>
          </w:tcPr>
          <w:p>
            <w:pPr>
              <w:spacing w:after="0" w:line="20" w:lineRule="exact"/>
              <w:rPr>
                <w:sz w:val="1"/>
                <w:szCs w:val="1"/>
                <w:color w:val="auto"/>
              </w:rPr>
            </w:pPr>
          </w:p>
        </w:tc>
        <w:tc>
          <w:tcPr>
            <w:tcW w:w="240" w:type="dxa"/>
            <w:vAlign w:val="bottom"/>
            <w:vMerge w:val="restart"/>
            <w:shd w:val="clear" w:color="auto" w:fill="CCEEFF"/>
          </w:tcPr>
          <w:p>
            <w:pPr>
              <w:spacing w:after="0" w:line="20" w:lineRule="exact"/>
              <w:rPr>
                <w:sz w:val="1"/>
                <w:szCs w:val="1"/>
                <w:color w:val="auto"/>
              </w:rPr>
            </w:pPr>
          </w:p>
        </w:tc>
        <w:tc>
          <w:tcPr>
            <w:tcW w:w="680" w:type="dxa"/>
            <w:vAlign w:val="bottom"/>
            <w:shd w:val="clear" w:color="auto" w:fill="000000"/>
          </w:tcPr>
          <w:p>
            <w:pPr>
              <w:spacing w:after="0" w:line="20" w:lineRule="exact"/>
              <w:rPr>
                <w:sz w:val="1"/>
                <w:szCs w:val="1"/>
                <w:color w:val="auto"/>
              </w:rPr>
            </w:pPr>
          </w:p>
        </w:tc>
        <w:tc>
          <w:tcPr>
            <w:tcW w:w="220" w:type="dxa"/>
            <w:vAlign w:val="bottom"/>
            <w:shd w:val="clear" w:color="auto" w:fill="CCEEFF"/>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80" w:type="dxa"/>
            <w:vAlign w:val="bottom"/>
            <w:gridSpan w:val="2"/>
            <w:vMerge w:val="continue"/>
            <w:shd w:val="clear" w:color="auto" w:fill="CCEEFF"/>
          </w:tcPr>
          <w:p>
            <w:pPr>
              <w:spacing w:after="0"/>
              <w:rPr>
                <w:sz w:val="17"/>
                <w:szCs w:val="17"/>
                <w:color w:val="auto"/>
              </w:rPr>
            </w:pPr>
          </w:p>
        </w:tc>
        <w:tc>
          <w:tcPr>
            <w:tcW w:w="280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ind w:left="60"/>
              <w:spacing w:after="0" w:line="203" w:lineRule="exact"/>
              <w:rPr>
                <w:sz w:val="20"/>
                <w:szCs w:val="20"/>
                <w:color w:val="auto"/>
              </w:rPr>
            </w:pPr>
            <w:r>
              <w:rPr>
                <w:rFonts w:ascii="Arial" w:cs="Arial" w:eastAsia="Arial" w:hAnsi="Arial"/>
                <w:sz w:val="18"/>
                <w:szCs w:val="18"/>
                <w:color w:val="auto"/>
                <w:w w:val="86"/>
              </w:rPr>
              <w:t>40,778,835</w:t>
            </w:r>
          </w:p>
        </w:tc>
        <w:tc>
          <w:tcPr>
            <w:tcW w:w="260" w:type="dxa"/>
            <w:vAlign w:val="bottom"/>
            <w:vMerge w:val="continue"/>
            <w:shd w:val="clear" w:color="auto" w:fill="CCEEFF"/>
          </w:tcPr>
          <w:p>
            <w:pPr>
              <w:spacing w:after="0"/>
              <w:rPr>
                <w:sz w:val="17"/>
                <w:szCs w:val="17"/>
                <w:color w:val="auto"/>
              </w:rPr>
            </w:pPr>
          </w:p>
        </w:tc>
        <w:tc>
          <w:tcPr>
            <w:tcW w:w="960" w:type="dxa"/>
            <w:vAlign w:val="bottom"/>
            <w:gridSpan w:val="2"/>
            <w:shd w:val="clear" w:color="auto" w:fill="CCEEFF"/>
          </w:tcPr>
          <w:p>
            <w:pPr>
              <w:jc w:val="right"/>
              <w:ind w:right="220"/>
              <w:spacing w:after="0" w:line="203" w:lineRule="exact"/>
              <w:rPr>
                <w:sz w:val="20"/>
                <w:szCs w:val="20"/>
                <w:color w:val="auto"/>
              </w:rPr>
            </w:pPr>
            <w:r>
              <w:rPr>
                <w:rFonts w:ascii="Arial" w:cs="Arial" w:eastAsia="Arial" w:hAnsi="Arial"/>
                <w:sz w:val="18"/>
                <w:szCs w:val="18"/>
                <w:color w:val="auto"/>
              </w:rPr>
              <w:t>15.1%</w:t>
            </w:r>
          </w:p>
        </w:tc>
        <w:tc>
          <w:tcPr>
            <w:tcW w:w="860" w:type="dxa"/>
            <w:vAlign w:val="bottom"/>
            <w:shd w:val="clear" w:color="auto" w:fill="CCEEFF"/>
          </w:tcPr>
          <w:p>
            <w:pPr>
              <w:ind w:left="60"/>
              <w:spacing w:after="0" w:line="203" w:lineRule="exact"/>
              <w:rPr>
                <w:sz w:val="20"/>
                <w:szCs w:val="20"/>
                <w:color w:val="auto"/>
              </w:rPr>
            </w:pPr>
            <w:r>
              <w:rPr>
                <w:rFonts w:ascii="Arial" w:cs="Arial" w:eastAsia="Arial" w:hAnsi="Arial"/>
                <w:sz w:val="18"/>
                <w:szCs w:val="18"/>
                <w:color w:val="auto"/>
                <w:w w:val="86"/>
              </w:rPr>
              <w:t>40,778,835</w:t>
            </w:r>
          </w:p>
        </w:tc>
        <w:tc>
          <w:tcPr>
            <w:tcW w:w="240" w:type="dxa"/>
            <w:vAlign w:val="bottom"/>
            <w:vMerge w:val="continue"/>
            <w:shd w:val="clear" w:color="auto" w:fill="CCEEFF"/>
          </w:tcPr>
          <w:p>
            <w:pPr>
              <w:spacing w:after="0"/>
              <w:rPr>
                <w:sz w:val="17"/>
                <w:szCs w:val="17"/>
                <w:color w:val="auto"/>
              </w:rPr>
            </w:pPr>
          </w:p>
        </w:tc>
        <w:tc>
          <w:tcPr>
            <w:tcW w:w="60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rPr>
              <w:t>0</w:t>
            </w:r>
          </w:p>
        </w:tc>
        <w:tc>
          <w:tcPr>
            <w:tcW w:w="240" w:type="dxa"/>
            <w:vAlign w:val="bottom"/>
            <w:vMerge w:val="continue"/>
            <w:shd w:val="clear" w:color="auto" w:fill="CCEEFF"/>
          </w:tcPr>
          <w:p>
            <w:pPr>
              <w:spacing w:after="0"/>
              <w:rPr>
                <w:sz w:val="17"/>
                <w:szCs w:val="17"/>
                <w:color w:val="auto"/>
              </w:rPr>
            </w:pPr>
          </w:p>
        </w:tc>
        <w:tc>
          <w:tcPr>
            <w:tcW w:w="88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w w:val="95"/>
              </w:rPr>
              <w:t>40,778,835</w:t>
            </w:r>
          </w:p>
        </w:tc>
        <w:tc>
          <w:tcPr>
            <w:tcW w:w="240" w:type="dxa"/>
            <w:vAlign w:val="bottom"/>
            <w:vMerge w:val="continue"/>
            <w:shd w:val="clear" w:color="auto" w:fill="CCEEFF"/>
          </w:tcPr>
          <w:p>
            <w:pPr>
              <w:spacing w:after="0"/>
              <w:rPr>
                <w:sz w:val="17"/>
                <w:szCs w:val="17"/>
                <w:color w:val="auto"/>
              </w:rPr>
            </w:pPr>
          </w:p>
        </w:tc>
        <w:tc>
          <w:tcPr>
            <w:tcW w:w="860" w:type="dxa"/>
            <w:vAlign w:val="bottom"/>
            <w:shd w:val="clear" w:color="auto" w:fill="CCEEFF"/>
          </w:tcPr>
          <w:p>
            <w:pPr>
              <w:jc w:val="right"/>
              <w:spacing w:after="0" w:line="203" w:lineRule="exact"/>
              <w:rPr>
                <w:sz w:val="20"/>
                <w:szCs w:val="20"/>
                <w:color w:val="auto"/>
              </w:rPr>
            </w:pPr>
            <w:r>
              <w:rPr>
                <w:rFonts w:ascii="Arial" w:cs="Arial" w:eastAsia="Arial" w:hAnsi="Arial"/>
                <w:sz w:val="18"/>
                <w:szCs w:val="18"/>
                <w:color w:val="auto"/>
              </w:rPr>
              <w:t>0</w:t>
            </w:r>
          </w:p>
        </w:tc>
        <w:tc>
          <w:tcPr>
            <w:tcW w:w="240" w:type="dxa"/>
            <w:vAlign w:val="bottom"/>
            <w:vMerge w:val="continue"/>
            <w:shd w:val="clear" w:color="auto" w:fill="CCEEFF"/>
          </w:tcPr>
          <w:p>
            <w:pPr>
              <w:spacing w:after="0"/>
              <w:rPr>
                <w:sz w:val="17"/>
                <w:szCs w:val="17"/>
                <w:color w:val="auto"/>
              </w:rPr>
            </w:pPr>
          </w:p>
        </w:tc>
        <w:tc>
          <w:tcPr>
            <w:tcW w:w="900" w:type="dxa"/>
            <w:vAlign w:val="bottom"/>
            <w:gridSpan w:val="2"/>
            <w:shd w:val="clear" w:color="auto" w:fill="CCEEFF"/>
          </w:tcPr>
          <w:p>
            <w:pPr>
              <w:jc w:val="right"/>
              <w:ind w:right="60"/>
              <w:spacing w:after="0" w:line="203" w:lineRule="exact"/>
              <w:rPr>
                <w:sz w:val="20"/>
                <w:szCs w:val="20"/>
                <w:color w:val="auto"/>
              </w:rPr>
            </w:pPr>
            <w:r>
              <w:rPr>
                <w:rFonts w:ascii="Arial" w:cs="Arial" w:eastAsia="Arial" w:hAnsi="Arial"/>
                <w:sz w:val="18"/>
                <w:szCs w:val="18"/>
                <w:color w:val="auto"/>
              </w:rPr>
              <w:t>45.4%</w:t>
            </w:r>
          </w:p>
        </w:tc>
        <w:tc>
          <w:tcPr>
            <w:tcW w:w="0" w:type="dxa"/>
            <w:vAlign w:val="bottom"/>
          </w:tcPr>
          <w:p>
            <w:pPr>
              <w:spacing w:after="0"/>
              <w:rPr>
                <w:sz w:val="1"/>
                <w:szCs w:val="1"/>
                <w:color w:val="auto"/>
              </w:rPr>
            </w:pPr>
          </w:p>
        </w:tc>
      </w:tr>
      <w:tr>
        <w:trPr>
          <w:trHeight w:val="230"/>
        </w:trPr>
        <w:tc>
          <w:tcPr>
            <w:tcW w:w="1080" w:type="dxa"/>
            <w:vAlign w:val="bottom"/>
            <w:gridSpan w:val="2"/>
          </w:tcPr>
          <w:p>
            <w:pPr>
              <w:spacing w:after="0"/>
              <w:rPr>
                <w:sz w:val="20"/>
                <w:szCs w:val="20"/>
                <w:color w:val="auto"/>
              </w:rPr>
            </w:pPr>
            <w:r>
              <w:rPr>
                <w:rFonts w:ascii="Arial" w:cs="Arial" w:eastAsia="Arial" w:hAnsi="Arial"/>
                <w:sz w:val="18"/>
                <w:szCs w:val="18"/>
                <w:color w:val="auto"/>
                <w:w w:val="97"/>
              </w:rPr>
              <w:t>Eagle Central</w:t>
            </w:r>
          </w:p>
        </w:tc>
        <w:tc>
          <w:tcPr>
            <w:tcW w:w="3920" w:type="dxa"/>
            <w:vAlign w:val="bottom"/>
            <w:gridSpan w:val="3"/>
          </w:tcPr>
          <w:p>
            <w:pPr>
              <w:ind w:left="2860"/>
              <w:spacing w:after="0"/>
              <w:rPr>
                <w:sz w:val="20"/>
                <w:szCs w:val="20"/>
                <w:color w:val="auto"/>
              </w:rPr>
            </w:pPr>
            <w:r>
              <w:rPr>
                <w:rFonts w:ascii="Arial" w:cs="Arial" w:eastAsia="Arial" w:hAnsi="Arial"/>
                <w:sz w:val="18"/>
                <w:szCs w:val="18"/>
                <w:color w:val="auto"/>
              </w:rPr>
              <w:t>38,275,787</w:t>
            </w:r>
          </w:p>
        </w:tc>
        <w:tc>
          <w:tcPr>
            <w:tcW w:w="960" w:type="dxa"/>
            <w:vAlign w:val="bottom"/>
            <w:gridSpan w:val="2"/>
          </w:tcPr>
          <w:p>
            <w:pPr>
              <w:jc w:val="right"/>
              <w:ind w:right="220"/>
              <w:spacing w:after="0"/>
              <w:rPr>
                <w:sz w:val="20"/>
                <w:szCs w:val="20"/>
                <w:color w:val="auto"/>
              </w:rPr>
            </w:pPr>
            <w:r>
              <w:rPr>
                <w:rFonts w:ascii="Arial" w:cs="Arial" w:eastAsia="Arial" w:hAnsi="Arial"/>
                <w:sz w:val="18"/>
                <w:szCs w:val="18"/>
                <w:color w:val="auto"/>
              </w:rPr>
              <w:t>14.3%</w:t>
            </w:r>
          </w:p>
        </w:tc>
        <w:tc>
          <w:tcPr>
            <w:tcW w:w="1100" w:type="dxa"/>
            <w:vAlign w:val="bottom"/>
            <w:gridSpan w:val="2"/>
          </w:tcPr>
          <w:p>
            <w:pPr>
              <w:ind w:left="60"/>
              <w:spacing w:after="0"/>
              <w:rPr>
                <w:sz w:val="20"/>
                <w:szCs w:val="20"/>
                <w:color w:val="auto"/>
              </w:rPr>
            </w:pPr>
            <w:r>
              <w:rPr>
                <w:rFonts w:ascii="Arial" w:cs="Arial" w:eastAsia="Arial" w:hAnsi="Arial"/>
                <w:sz w:val="18"/>
                <w:szCs w:val="18"/>
                <w:color w:val="auto"/>
              </w:rPr>
              <w:t>38,275,787</w:t>
            </w:r>
          </w:p>
        </w:tc>
        <w:tc>
          <w:tcPr>
            <w:tcW w:w="84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1120" w:type="dxa"/>
            <w:vAlign w:val="bottom"/>
            <w:gridSpan w:val="2"/>
          </w:tcPr>
          <w:p>
            <w:pPr>
              <w:jc w:val="right"/>
              <w:ind w:right="240"/>
              <w:spacing w:after="0"/>
              <w:rPr>
                <w:sz w:val="20"/>
                <w:szCs w:val="20"/>
                <w:color w:val="auto"/>
              </w:rPr>
            </w:pPr>
            <w:r>
              <w:rPr>
                <w:rFonts w:ascii="Arial" w:cs="Arial" w:eastAsia="Arial" w:hAnsi="Arial"/>
                <w:sz w:val="18"/>
                <w:szCs w:val="18"/>
                <w:color w:val="auto"/>
                <w:w w:val="95"/>
              </w:rPr>
              <w:t>38,275,787</w:t>
            </w:r>
          </w:p>
        </w:tc>
        <w:tc>
          <w:tcPr>
            <w:tcW w:w="1100" w:type="dxa"/>
            <w:vAlign w:val="bottom"/>
            <w:gridSpan w:val="2"/>
          </w:tcPr>
          <w:p>
            <w:pPr>
              <w:jc w:val="right"/>
              <w:ind w:right="240"/>
              <w:spacing w:after="0"/>
              <w:rPr>
                <w:sz w:val="20"/>
                <w:szCs w:val="20"/>
                <w:color w:val="auto"/>
              </w:rPr>
            </w:pPr>
            <w:r>
              <w:rPr>
                <w:rFonts w:ascii="Arial" w:cs="Arial" w:eastAsia="Arial" w:hAnsi="Arial"/>
                <w:sz w:val="18"/>
                <w:szCs w:val="18"/>
                <w:color w:val="auto"/>
              </w:rPr>
              <w:t>0</w:t>
            </w:r>
          </w:p>
        </w:tc>
        <w:tc>
          <w:tcPr>
            <w:tcW w:w="900" w:type="dxa"/>
            <w:vAlign w:val="bottom"/>
            <w:gridSpan w:val="2"/>
          </w:tcPr>
          <w:p>
            <w:pPr>
              <w:jc w:val="right"/>
              <w:ind w:right="60"/>
              <w:spacing w:after="0"/>
              <w:rPr>
                <w:sz w:val="20"/>
                <w:szCs w:val="20"/>
                <w:color w:val="auto"/>
              </w:rPr>
            </w:pPr>
            <w:r>
              <w:rPr>
                <w:rFonts w:ascii="Arial" w:cs="Arial" w:eastAsia="Arial" w:hAnsi="Arial"/>
                <w:sz w:val="18"/>
                <w:szCs w:val="18"/>
                <w:color w:val="auto"/>
              </w:rPr>
              <w:t>45.3%</w:t>
            </w:r>
          </w:p>
        </w:tc>
        <w:tc>
          <w:tcPr>
            <w:tcW w:w="0" w:type="dxa"/>
            <w:vAlign w:val="bottom"/>
          </w:tcPr>
          <w:p>
            <w:pPr>
              <w:spacing w:after="0"/>
              <w:rPr>
                <w:sz w:val="1"/>
                <w:szCs w:val="1"/>
                <w:color w:val="auto"/>
              </w:rPr>
            </w:pPr>
          </w:p>
        </w:tc>
      </w:tr>
    </w:tbl>
    <w:p>
      <w:pPr>
        <w:spacing w:after="0" w:line="214"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74865" cy="38735"/>
                    </a:xfrm>
                    <a:prstGeom prst="rect">
                      <a:avLst/>
                    </a:prstGeom>
                    <a:noFill/>
                  </pic:spPr>
                </pic:pic>
              </a:graphicData>
            </a:graphic>
          </wp:anchor>
        </w:drawing>
      </w:r>
    </w:p>
    <w:p>
      <w:pPr>
        <w:ind w:left="424" w:right="180" w:hanging="424"/>
        <w:spacing w:after="0" w:line="269" w:lineRule="auto"/>
        <w:tabs>
          <w:tab w:leader="none" w:pos="424" w:val="left"/>
        </w:tabs>
        <w:numPr>
          <w:ilvl w:val="0"/>
          <w:numId w:val="8"/>
        </w:numPr>
        <w:rPr>
          <w:rFonts w:ascii="Arial" w:cs="Arial" w:eastAsia="Arial" w:hAnsi="Arial"/>
          <w:sz w:val="17"/>
          <w:szCs w:val="17"/>
          <w:color w:val="auto"/>
        </w:rPr>
      </w:pPr>
      <w:r>
        <w:rPr>
          <w:rFonts w:ascii="Arial" w:cs="Arial" w:eastAsia="Arial" w:hAnsi="Arial"/>
          <w:sz w:val="17"/>
          <w:szCs w:val="17"/>
          <w:color w:val="auto"/>
        </w:rPr>
        <w:t>As of December 31, 2021, Eagle Central directly owned 38,275,787 of the Issuer’s Class B ordinary shares. Eagle Central is wholly owned by Mr. Xiaojun Zhang. Accordingly, Mr. Xiaojun Zhang may thereby be deemed to beneficially own the 38,275,787 Class B ordinary shares owned by Eagle Central. In addition, Mr. Xiaojun Zhang has the right to acquire 2,503,048 Class A ordinary shares within 60 days after December 31, 2021 pursuant to the terms of the options granted to him under the Issuer’s share incentive plan.</w:t>
      </w:r>
    </w:p>
    <w:p>
      <w:pPr>
        <w:spacing w:after="0" w:line="1" w:lineRule="exact"/>
        <w:rPr>
          <w:rFonts w:ascii="Arial" w:cs="Arial" w:eastAsia="Arial" w:hAnsi="Arial"/>
          <w:sz w:val="17"/>
          <w:szCs w:val="17"/>
          <w:color w:val="auto"/>
        </w:rPr>
      </w:pPr>
    </w:p>
    <w:p>
      <w:pPr>
        <w:ind w:left="424" w:right="100" w:hanging="424"/>
        <w:spacing w:after="0" w:line="250" w:lineRule="auto"/>
        <w:tabs>
          <w:tab w:leader="none" w:pos="424" w:val="left"/>
        </w:tabs>
        <w:numPr>
          <w:ilvl w:val="0"/>
          <w:numId w:val="8"/>
        </w:numPr>
        <w:rPr>
          <w:rFonts w:ascii="Arial" w:cs="Arial" w:eastAsia="Arial" w:hAnsi="Arial"/>
          <w:sz w:val="18"/>
          <w:szCs w:val="18"/>
          <w:color w:val="auto"/>
        </w:rPr>
      </w:pPr>
      <w:r>
        <w:rPr>
          <w:rFonts w:ascii="Arial" w:cs="Arial" w:eastAsia="Arial" w:hAnsi="Arial"/>
          <w:sz w:val="18"/>
          <w:szCs w:val="18"/>
          <w:color w:val="auto"/>
        </w:rPr>
        <w:t>The percentage of the class of securities beneficially owned by each reporting person is calculated based on (i) 229,831,214 Class A ordinary shares of the Issuer issued and outstanding as of December 31, 2021 and (ii) 38,275,787 Class B ordinary shares beneficially owned by the reporting person as of December 31, 2021, assuming the conversion of all such Class B ordinary shares into the same number of Class A ordinary shares.</w:t>
      </w:r>
    </w:p>
    <w:p>
      <w:pPr>
        <w:spacing w:after="0" w:line="1" w:lineRule="exact"/>
        <w:rPr>
          <w:rFonts w:ascii="Arial" w:cs="Arial" w:eastAsia="Arial" w:hAnsi="Arial"/>
          <w:sz w:val="18"/>
          <w:szCs w:val="18"/>
          <w:color w:val="auto"/>
        </w:rPr>
      </w:pPr>
    </w:p>
    <w:p>
      <w:pPr>
        <w:ind w:left="424" w:right="120" w:hanging="424"/>
        <w:spacing w:after="0" w:line="292" w:lineRule="auto"/>
        <w:tabs>
          <w:tab w:leader="none" w:pos="424" w:val="left"/>
        </w:tabs>
        <w:numPr>
          <w:ilvl w:val="0"/>
          <w:numId w:val="8"/>
        </w:numPr>
        <w:rPr>
          <w:rFonts w:ascii="Arial" w:cs="Arial" w:eastAsia="Arial" w:hAnsi="Arial"/>
          <w:sz w:val="16"/>
          <w:szCs w:val="16"/>
          <w:color w:val="auto"/>
        </w:rPr>
      </w:pPr>
      <w:r>
        <w:rPr>
          <w:rFonts w:ascii="Arial" w:cs="Arial" w:eastAsia="Arial" w:hAnsi="Arial"/>
          <w:sz w:val="16"/>
          <w:szCs w:val="16"/>
          <w:color w:val="auto"/>
        </w:rPr>
        <w:t>The percentage of voting power is calculated by dividing the voting power beneficially owned by such person or group by the voting power of a total of 229,831,213 Class A ordinary shares and 72,978,677 Class B ordinary shares of the Issuer issued and outstanding as of December 31, 2021. In respect of all matters subject to a shareholders’ vote, each Class A ordinary share is entitled to one vote, and each Class B ordinary share is entitled to 20 votes, voting together as one class. Each Class B ordinary share is convertible into one Class A ordinary share at any time by the holder thereof. Class A ordinary shares are not convertible into Class B ordinary shares under any circumstances.</w:t>
      </w:r>
    </w:p>
    <w:p>
      <w:pPr>
        <w:spacing w:after="0" w:line="54" w:lineRule="exact"/>
        <w:rPr>
          <w:rFonts w:ascii="Arial" w:cs="Arial" w:eastAsia="Arial" w:hAnsi="Arial"/>
          <w:sz w:val="16"/>
          <w:szCs w:val="16"/>
          <w:color w:val="auto"/>
        </w:rPr>
      </w:pPr>
    </w:p>
    <w:p>
      <w:pPr>
        <w:ind w:left="444" w:right="40"/>
        <w:spacing w:after="0" w:line="259" w:lineRule="auto"/>
        <w:rPr>
          <w:rFonts w:ascii="Arial" w:cs="Arial" w:eastAsia="Arial" w:hAnsi="Arial"/>
          <w:sz w:val="16"/>
          <w:szCs w:val="16"/>
          <w:color w:val="auto"/>
        </w:rPr>
      </w:pPr>
      <w:r>
        <w:rPr>
          <w:rFonts w:ascii="Arial" w:cs="Arial" w:eastAsia="Arial" w:hAnsi="Arial"/>
          <w:sz w:val="18"/>
          <w:szCs w:val="18"/>
          <w:color w:val="auto"/>
        </w:rPr>
        <w:t>In May 2018, the Issuer’s co-founders Mr. Xiaojun Zhang and Mr. Jiayuan Lin entered into a voting agreement, which was amended and restated in June 2019. Pursuant to the amended and restated voting agreement, the co-founders shall reach a consensus before exercising their voting rights with respect to the Issuer’s shares. As of December 31, 2021, the co-founders collectively exercised 86.7% of the aggregate voting power of the Issuer’s issued and outstanding share capital.</w:t>
      </w:r>
    </w:p>
    <w:p>
      <w:pPr>
        <w:spacing w:after="0" w:line="331"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5.</w:t>
      </w:r>
      <w:r>
        <w:rPr>
          <w:sz w:val="20"/>
          <w:szCs w:val="20"/>
          <w:color w:val="auto"/>
        </w:rPr>
        <w:tab/>
      </w:r>
      <w:r>
        <w:rPr>
          <w:rFonts w:ascii="Arial" w:cs="Arial" w:eastAsia="Arial" w:hAnsi="Arial"/>
          <w:sz w:val="16"/>
          <w:szCs w:val="16"/>
          <w:b w:val="1"/>
          <w:bCs w:val="1"/>
          <w:color w:val="auto"/>
        </w:rPr>
        <w:t>Ownership of Five Percent or Less of a Class.</w:t>
      </w:r>
    </w:p>
    <w:p>
      <w:pPr>
        <w:spacing w:after="0" w:line="121" w:lineRule="exact"/>
        <w:rPr>
          <w:sz w:val="20"/>
          <w:szCs w:val="20"/>
          <w:color w:val="auto"/>
        </w:rPr>
      </w:pPr>
    </w:p>
    <w:p>
      <w:pPr>
        <w:ind w:left="110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6.</w:t>
      </w:r>
      <w:r>
        <w:rPr>
          <w:sz w:val="20"/>
          <w:szCs w:val="20"/>
          <w:color w:val="auto"/>
        </w:rPr>
        <w:tab/>
      </w:r>
      <w:r>
        <w:rPr>
          <w:rFonts w:ascii="Arial" w:cs="Arial" w:eastAsia="Arial" w:hAnsi="Arial"/>
          <w:sz w:val="16"/>
          <w:szCs w:val="16"/>
          <w:b w:val="1"/>
          <w:bCs w:val="1"/>
          <w:color w:val="auto"/>
        </w:rPr>
        <w:t>Ownership of More Than Five Percent on Behalf of Another Person.</w:t>
      </w:r>
    </w:p>
    <w:p>
      <w:pPr>
        <w:spacing w:after="0" w:line="121" w:lineRule="exact"/>
        <w:rPr>
          <w:sz w:val="20"/>
          <w:szCs w:val="20"/>
          <w:color w:val="auto"/>
        </w:rPr>
      </w:pPr>
    </w:p>
    <w:p>
      <w:pPr>
        <w:ind w:left="110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ind w:left="1084" w:right="600" w:hanging="1092"/>
        <w:spacing w:after="0" w:line="282" w:lineRule="auto"/>
        <w:tabs>
          <w:tab w:leader="none" w:pos="1064" w:val="left"/>
        </w:tabs>
        <w:rPr>
          <w:sz w:val="20"/>
          <w:szCs w:val="20"/>
          <w:color w:val="auto"/>
        </w:rPr>
      </w:pPr>
      <w:r>
        <w:rPr>
          <w:rFonts w:ascii="Arial" w:cs="Arial" w:eastAsia="Arial" w:hAnsi="Arial"/>
          <w:sz w:val="18"/>
          <w:szCs w:val="18"/>
          <w:b w:val="1"/>
          <w:bCs w:val="1"/>
          <w:color w:val="auto"/>
        </w:rPr>
        <w:t>Item 7.</w:t>
      </w:r>
      <w:r>
        <w:rPr>
          <w:sz w:val="20"/>
          <w:szCs w:val="20"/>
          <w:color w:val="auto"/>
        </w:rPr>
        <w:tab/>
      </w:r>
      <w:r>
        <w:rPr>
          <w:rFonts w:ascii="Arial" w:cs="Arial" w:eastAsia="Arial" w:hAnsi="Arial"/>
          <w:sz w:val="18"/>
          <w:szCs w:val="18"/>
          <w:b w:val="1"/>
          <w:bCs w:val="1"/>
          <w:color w:val="auto"/>
        </w:rPr>
        <w:t>Identification and Classification of the Subsidiary Which Acquired the Security Being Reported on by the Parent Holding Company or Control Person.</w:t>
      </w:r>
    </w:p>
    <w:p>
      <w:pPr>
        <w:spacing w:after="0" w:line="58" w:lineRule="exact"/>
        <w:rPr>
          <w:sz w:val="20"/>
          <w:szCs w:val="20"/>
          <w:color w:val="auto"/>
        </w:rPr>
      </w:pPr>
    </w:p>
    <w:p>
      <w:pPr>
        <w:ind w:left="1104"/>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ind w:left="4"/>
        <w:spacing w:after="0"/>
        <w:tabs>
          <w:tab w:leader="none" w:pos="1064" w:val="left"/>
        </w:tabs>
        <w:rPr>
          <w:sz w:val="20"/>
          <w:szCs w:val="20"/>
          <w:color w:val="auto"/>
        </w:rPr>
      </w:pPr>
      <w:r>
        <w:rPr>
          <w:rFonts w:ascii="Arial" w:cs="Arial" w:eastAsia="Arial" w:hAnsi="Arial"/>
          <w:sz w:val="18"/>
          <w:szCs w:val="18"/>
          <w:b w:val="1"/>
          <w:bCs w:val="1"/>
          <w:color w:val="auto"/>
        </w:rPr>
        <w:t>Item 8.</w:t>
      </w:r>
      <w:r>
        <w:rPr>
          <w:sz w:val="20"/>
          <w:szCs w:val="20"/>
          <w:color w:val="auto"/>
        </w:rPr>
        <w:tab/>
      </w:r>
      <w:r>
        <w:rPr>
          <w:rFonts w:ascii="Arial" w:cs="Arial" w:eastAsia="Arial" w:hAnsi="Arial"/>
          <w:sz w:val="16"/>
          <w:szCs w:val="16"/>
          <w:b w:val="1"/>
          <w:bCs w:val="1"/>
          <w:color w:val="auto"/>
        </w:rPr>
        <w:t>Identification and Classification of Members of the Group.</w:t>
      </w:r>
    </w:p>
    <w:p>
      <w:pPr>
        <w:spacing w:after="0" w:line="121" w:lineRule="exact"/>
        <w:rPr>
          <w:sz w:val="20"/>
          <w:szCs w:val="20"/>
          <w:color w:val="auto"/>
        </w:rPr>
      </w:pPr>
    </w:p>
    <w:p>
      <w:pPr>
        <w:ind w:left="1104"/>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jc w:val="center"/>
        <w:ind w:right="-3"/>
        <w:spacing w:after="0"/>
        <w:rPr>
          <w:sz w:val="20"/>
          <w:szCs w:val="20"/>
          <w:color w:val="auto"/>
        </w:rPr>
      </w:pPr>
      <w:r>
        <w:rPr>
          <w:rFonts w:ascii="Arial" w:cs="Arial" w:eastAsia="Arial" w:hAnsi="Arial"/>
          <w:sz w:val="18"/>
          <w:szCs w:val="18"/>
          <w:color w:val="auto"/>
        </w:rPr>
        <w:t>Page 5 of 8</w:t>
      </w:r>
    </w:p>
    <w:p>
      <w:pPr>
        <w:sectPr>
          <w:pgSz w:w="11900" w:h="16838" w:orient="portrait"/>
          <w:cols w:equalWidth="0" w:num="1">
            <w:col w:w="11024"/>
          </w:cols>
          <w:pgMar w:left="436" w:top="270" w:right="439" w:bottom="1440" w:gutter="0" w:footer="0" w:header="0"/>
        </w:sectPr>
      </w:pPr>
    </w:p>
    <w:bookmarkStart w:id="5" w:name="page6"/>
    <w:bookmarkEnd w:id="5"/>
    <w:p>
      <w:pPr>
        <w:spacing w:after="0"/>
        <w:tabs>
          <w:tab w:leader="none" w:pos="1060" w:val="left"/>
        </w:tabs>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7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74865" cy="38735"/>
                    </a:xfrm>
                    <a:prstGeom prst="rect">
                      <a:avLst/>
                    </a:prstGeom>
                    <a:noFill/>
                  </pic:spPr>
                </pic:pic>
              </a:graphicData>
            </a:graphic>
          </wp:anchor>
        </w:drawing>
        <w:t>Item 9.</w:t>
      </w:r>
      <w:r>
        <w:rPr>
          <w:sz w:val="20"/>
          <w:szCs w:val="20"/>
          <w:color w:val="auto"/>
        </w:rPr>
        <w:tab/>
      </w:r>
      <w:r>
        <w:rPr>
          <w:rFonts w:ascii="Arial" w:cs="Arial" w:eastAsia="Arial" w:hAnsi="Arial"/>
          <w:sz w:val="16"/>
          <w:szCs w:val="16"/>
          <w:b w:val="1"/>
          <w:bCs w:val="1"/>
          <w:color w:val="auto"/>
        </w:rPr>
        <w:t>Notice of Dissolution of Group.</w:t>
      </w:r>
    </w:p>
    <w:p>
      <w:pPr>
        <w:spacing w:after="0" w:line="121" w:lineRule="exact"/>
        <w:rPr>
          <w:sz w:val="20"/>
          <w:szCs w:val="20"/>
          <w:color w:val="auto"/>
        </w:rPr>
      </w:pPr>
    </w:p>
    <w:p>
      <w:pPr>
        <w:ind w:left="1100"/>
        <w:spacing w:after="0"/>
        <w:rPr>
          <w:sz w:val="20"/>
          <w:szCs w:val="20"/>
          <w:color w:val="auto"/>
        </w:rPr>
      </w:pPr>
      <w:r>
        <w:rPr>
          <w:rFonts w:ascii="Arial" w:cs="Arial" w:eastAsia="Arial" w:hAnsi="Arial"/>
          <w:sz w:val="18"/>
          <w:szCs w:val="18"/>
          <w:color w:val="auto"/>
        </w:rPr>
        <w:t>Not applicable.</w:t>
      </w:r>
    </w:p>
    <w:p>
      <w:pPr>
        <w:spacing w:after="0" w:line="370" w:lineRule="exact"/>
        <w:rPr>
          <w:sz w:val="20"/>
          <w:szCs w:val="20"/>
          <w:color w:val="auto"/>
        </w:rPr>
      </w:pPr>
    </w:p>
    <w:p>
      <w:pPr>
        <w:spacing w:after="0"/>
        <w:tabs>
          <w:tab w:leader="none" w:pos="1060" w:val="left"/>
        </w:tabs>
        <w:rPr>
          <w:sz w:val="20"/>
          <w:szCs w:val="20"/>
          <w:color w:val="auto"/>
        </w:rPr>
      </w:pPr>
      <w:r>
        <w:rPr>
          <w:rFonts w:ascii="Arial" w:cs="Arial" w:eastAsia="Arial" w:hAnsi="Arial"/>
          <w:sz w:val="18"/>
          <w:szCs w:val="18"/>
          <w:b w:val="1"/>
          <w:bCs w:val="1"/>
          <w:color w:val="auto"/>
        </w:rPr>
        <w:t>Item 10.</w:t>
      </w:r>
      <w:r>
        <w:rPr>
          <w:sz w:val="20"/>
          <w:szCs w:val="20"/>
          <w:color w:val="auto"/>
        </w:rPr>
        <w:tab/>
      </w:r>
      <w:r>
        <w:rPr>
          <w:rFonts w:ascii="Arial" w:cs="Arial" w:eastAsia="Arial" w:hAnsi="Arial"/>
          <w:sz w:val="16"/>
          <w:szCs w:val="16"/>
          <w:b w:val="1"/>
          <w:bCs w:val="1"/>
          <w:color w:val="auto"/>
        </w:rPr>
        <w:t>Certifications.</w:t>
      </w:r>
    </w:p>
    <w:p>
      <w:pPr>
        <w:spacing w:after="0" w:line="121" w:lineRule="exact"/>
        <w:rPr>
          <w:sz w:val="20"/>
          <w:szCs w:val="20"/>
          <w:color w:val="auto"/>
        </w:rPr>
      </w:pPr>
    </w:p>
    <w:p>
      <w:pPr>
        <w:ind w:left="1100"/>
        <w:spacing w:after="0"/>
        <w:rPr>
          <w:sz w:val="20"/>
          <w:szCs w:val="20"/>
          <w:color w:val="auto"/>
        </w:rPr>
      </w:pPr>
      <w:r>
        <w:rPr>
          <w:rFonts w:ascii="Arial" w:cs="Arial" w:eastAsia="Arial" w:hAnsi="Arial"/>
          <w:sz w:val="18"/>
          <w:szCs w:val="18"/>
          <w:color w:val="auto"/>
        </w:rPr>
        <w:t>Not applicable.</w:t>
      </w:r>
    </w:p>
    <w:p>
      <w:pPr>
        <w:spacing w:after="0" w:line="158" w:lineRule="exact"/>
        <w:rPr>
          <w:sz w:val="20"/>
          <w:szCs w:val="20"/>
          <w:color w:val="auto"/>
        </w:rPr>
      </w:pPr>
    </w:p>
    <w:p>
      <w:pPr>
        <w:jc w:val="right"/>
        <w:ind w:right="4099"/>
        <w:spacing w:after="0"/>
        <w:rPr>
          <w:sz w:val="20"/>
          <w:szCs w:val="20"/>
          <w:color w:val="auto"/>
        </w:rPr>
      </w:pPr>
      <w:r>
        <w:rPr>
          <w:rFonts w:ascii="Arial" w:cs="Arial" w:eastAsia="Arial" w:hAnsi="Arial"/>
          <w:sz w:val="18"/>
          <w:szCs w:val="18"/>
          <w:color w:val="auto"/>
        </w:rPr>
        <w:t>Page 6 of 8</w:t>
      </w:r>
    </w:p>
    <w:p>
      <w:pPr>
        <w:sectPr>
          <w:pgSz w:w="11900" w:h="16838" w:orient="portrait"/>
          <w:cols w:equalWidth="0" w:num="1">
            <w:col w:w="10019"/>
          </w:cols>
          <w:pgMar w:left="440" w:top="270"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74865" cy="38100"/>
                    </a:xfrm>
                    <a:prstGeom prst="rect">
                      <a:avLst/>
                    </a:prstGeom>
                    <a:noFill/>
                  </pic:spPr>
                </pic:pic>
              </a:graphicData>
            </a:graphic>
          </wp:anchor>
        </w:drawing>
        <w:t>SIGNATURES</w:t>
      </w:r>
    </w:p>
    <w:p>
      <w:pPr>
        <w:spacing w:after="0" w:line="229" w:lineRule="exact"/>
        <w:rPr>
          <w:sz w:val="20"/>
          <w:szCs w:val="20"/>
          <w:color w:val="auto"/>
        </w:rPr>
      </w:pPr>
    </w:p>
    <w:p>
      <w:pPr>
        <w:ind w:right="480"/>
        <w:spacing w:after="0" w:line="277" w:lineRule="auto"/>
        <w:rPr>
          <w:sz w:val="20"/>
          <w:szCs w:val="20"/>
          <w:color w:val="auto"/>
        </w:rPr>
      </w:pPr>
      <w:r>
        <w:rPr>
          <w:rFonts w:ascii="Arial" w:cs="Arial" w:eastAsia="Arial" w:hAnsi="Arial"/>
          <w:sz w:val="18"/>
          <w:szCs w:val="18"/>
          <w:color w:val="auto"/>
        </w:rPr>
        <w:t>After reasonable inquiry and to the best of our knowledge and belief, the undersigned certify that the information set forth in this statement is true, complete and correct.</w:t>
      </w:r>
    </w:p>
    <w:p>
      <w:pPr>
        <w:spacing w:after="0" w:line="278" w:lineRule="exact"/>
        <w:rPr>
          <w:sz w:val="20"/>
          <w:szCs w:val="20"/>
          <w:color w:val="auto"/>
        </w:rPr>
      </w:pPr>
    </w:p>
    <w:p>
      <w:pPr>
        <w:spacing w:after="0"/>
        <w:rPr>
          <w:sz w:val="20"/>
          <w:szCs w:val="20"/>
          <w:color w:val="auto"/>
        </w:rPr>
      </w:pPr>
      <w:r>
        <w:rPr>
          <w:rFonts w:ascii="Arial" w:cs="Arial" w:eastAsia="Arial" w:hAnsi="Arial"/>
          <w:sz w:val="18"/>
          <w:szCs w:val="18"/>
          <w:color w:val="auto"/>
        </w:rPr>
        <w:t>Dated: February 14,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Xiaojun Zhang</w:t>
      </w:r>
    </w:p>
    <w:p>
      <w:pPr>
        <w:spacing w:after="0" w:line="229" w:lineRule="exact"/>
        <w:rPr>
          <w:sz w:val="20"/>
          <w:szCs w:val="20"/>
          <w:color w:val="auto"/>
        </w:rPr>
      </w:pPr>
    </w:p>
    <w:tbl>
      <w:tblPr>
        <w:tblLayout w:type="fixed"/>
        <w:tblInd w:w="6620" w:type="dxa"/>
        <w:tblCellMar>
          <w:top w:w="0" w:type="dxa"/>
          <w:left w:w="0" w:type="dxa"/>
          <w:bottom w:w="0" w:type="dxa"/>
          <w:right w:w="0" w:type="dxa"/>
        </w:tblCellMar>
      </w:tblPr>
      <w:tr>
        <w:trPr>
          <w:trHeight w:val="230"/>
        </w:trPr>
        <w:tc>
          <w:tcPr>
            <w:tcW w:w="520" w:type="dxa"/>
            <w:vAlign w:val="bottom"/>
          </w:tcPr>
          <w:p>
            <w:pPr>
              <w:spacing w:after="0"/>
              <w:rPr>
                <w:sz w:val="20"/>
                <w:szCs w:val="20"/>
                <w:color w:val="auto"/>
              </w:rPr>
            </w:pPr>
            <w:r>
              <w:rPr>
                <w:rFonts w:ascii="Arial" w:cs="Arial" w:eastAsia="Arial" w:hAnsi="Arial"/>
                <w:sz w:val="18"/>
                <w:szCs w:val="18"/>
                <w:color w:val="auto"/>
              </w:rPr>
              <w:t>By:</w:t>
            </w:r>
          </w:p>
        </w:tc>
        <w:tc>
          <w:tcPr>
            <w:tcW w:w="38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/s/ Xiaojun Zhang</w:t>
            </w:r>
          </w:p>
        </w:tc>
      </w:tr>
      <w:tr>
        <w:trPr>
          <w:trHeight w:val="195"/>
        </w:trPr>
        <w:tc>
          <w:tcPr>
            <w:tcW w:w="520" w:type="dxa"/>
            <w:vAlign w:val="bottom"/>
          </w:tcPr>
          <w:p>
            <w:pPr>
              <w:spacing w:after="0" w:line="195" w:lineRule="exact"/>
              <w:rPr>
                <w:sz w:val="20"/>
                <w:szCs w:val="20"/>
                <w:color w:val="auto"/>
              </w:rPr>
            </w:pPr>
            <w:r>
              <w:rPr>
                <w:rFonts w:ascii="Arial" w:cs="Arial" w:eastAsia="Arial" w:hAnsi="Arial"/>
                <w:sz w:val="18"/>
                <w:szCs w:val="18"/>
                <w:color w:val="auto"/>
                <w:w w:val="94"/>
              </w:rPr>
              <w:t>Name:</w:t>
            </w:r>
          </w:p>
        </w:tc>
        <w:tc>
          <w:tcPr>
            <w:tcW w:w="3880" w:type="dxa"/>
            <w:vAlign w:val="bottom"/>
          </w:tcPr>
          <w:p>
            <w:pPr>
              <w:ind w:left="60"/>
              <w:spacing w:after="0" w:line="195" w:lineRule="exact"/>
              <w:rPr>
                <w:sz w:val="20"/>
                <w:szCs w:val="20"/>
                <w:color w:val="auto"/>
              </w:rPr>
            </w:pPr>
            <w:r>
              <w:rPr>
                <w:rFonts w:ascii="Arial" w:cs="Arial" w:eastAsia="Arial" w:hAnsi="Arial"/>
                <w:sz w:val="18"/>
                <w:szCs w:val="18"/>
                <w:color w:val="auto"/>
              </w:rPr>
              <w:t>Xiaojun Zhang</w:t>
            </w:r>
          </w:p>
        </w:tc>
      </w:tr>
      <w:tr>
        <w:trPr>
          <w:trHeight w:val="230"/>
        </w:trPr>
        <w:tc>
          <w:tcPr>
            <w:tcW w:w="520" w:type="dxa"/>
            <w:vAlign w:val="bottom"/>
          </w:tcPr>
          <w:p>
            <w:pPr>
              <w:spacing w:after="0"/>
              <w:rPr>
                <w:sz w:val="20"/>
                <w:szCs w:val="20"/>
                <w:color w:val="auto"/>
              </w:rPr>
            </w:pPr>
            <w:r>
              <w:rPr>
                <w:rFonts w:ascii="Arial" w:cs="Arial" w:eastAsia="Arial" w:hAnsi="Arial"/>
                <w:sz w:val="18"/>
                <w:szCs w:val="18"/>
                <w:color w:val="auto"/>
              </w:rPr>
              <w:t>Title:</w:t>
            </w:r>
          </w:p>
        </w:tc>
        <w:tc>
          <w:tcPr>
            <w:tcW w:w="3880" w:type="dxa"/>
            <w:vAlign w:val="bottom"/>
          </w:tcPr>
          <w:p>
            <w:pPr>
              <w:ind w:left="60"/>
              <w:spacing w:after="0"/>
              <w:rPr>
                <w:sz w:val="20"/>
                <w:szCs w:val="20"/>
                <w:color w:val="auto"/>
              </w:rPr>
            </w:pPr>
            <w:r>
              <w:rPr>
                <w:rFonts w:ascii="Arial" w:cs="Arial" w:eastAsia="Arial" w:hAnsi="Arial"/>
                <w:sz w:val="18"/>
                <w:szCs w:val="18"/>
                <w:color w:val="auto"/>
              </w:rPr>
              <w:t>Chairman</w:t>
            </w:r>
          </w:p>
        </w:tc>
      </w:tr>
    </w:tbl>
    <w:p>
      <w:pPr>
        <w:spacing w:after="0" w:line="225"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Eagle Central Holding Limited</w:t>
      </w:r>
    </w:p>
    <w:p>
      <w:pPr>
        <w:spacing w:after="0" w:line="229" w:lineRule="exact"/>
        <w:rPr>
          <w:sz w:val="20"/>
          <w:szCs w:val="20"/>
          <w:color w:val="auto"/>
        </w:rPr>
      </w:pPr>
    </w:p>
    <w:tbl>
      <w:tblPr>
        <w:tblLayout w:type="fixed"/>
        <w:tblInd w:w="6620" w:type="dxa"/>
        <w:tblCellMar>
          <w:top w:w="0" w:type="dxa"/>
          <w:left w:w="0" w:type="dxa"/>
          <w:bottom w:w="0" w:type="dxa"/>
          <w:right w:w="0" w:type="dxa"/>
        </w:tblCellMar>
      </w:tblPr>
      <w:tr>
        <w:trPr>
          <w:trHeight w:val="230"/>
        </w:trPr>
        <w:tc>
          <w:tcPr>
            <w:tcW w:w="520" w:type="dxa"/>
            <w:vAlign w:val="bottom"/>
          </w:tcPr>
          <w:p>
            <w:pPr>
              <w:spacing w:after="0"/>
              <w:rPr>
                <w:sz w:val="20"/>
                <w:szCs w:val="20"/>
                <w:color w:val="auto"/>
              </w:rPr>
            </w:pPr>
            <w:r>
              <w:rPr>
                <w:rFonts w:ascii="Arial" w:cs="Arial" w:eastAsia="Arial" w:hAnsi="Arial"/>
                <w:sz w:val="18"/>
                <w:szCs w:val="18"/>
                <w:color w:val="auto"/>
              </w:rPr>
              <w:t>By:</w:t>
            </w:r>
          </w:p>
        </w:tc>
        <w:tc>
          <w:tcPr>
            <w:tcW w:w="3880" w:type="dxa"/>
            <w:vAlign w:val="bottom"/>
            <w:tcBorders>
              <w:bottom w:val="single" w:sz="8" w:color="auto"/>
            </w:tcBorders>
          </w:tcPr>
          <w:p>
            <w:pPr>
              <w:ind w:left="60"/>
              <w:spacing w:after="0"/>
              <w:rPr>
                <w:sz w:val="20"/>
                <w:szCs w:val="20"/>
                <w:color w:val="auto"/>
              </w:rPr>
            </w:pPr>
            <w:r>
              <w:rPr>
                <w:rFonts w:ascii="Arial" w:cs="Arial" w:eastAsia="Arial" w:hAnsi="Arial"/>
                <w:sz w:val="18"/>
                <w:szCs w:val="18"/>
                <w:color w:val="auto"/>
              </w:rPr>
              <w:t>/s/ Xiaojun Zhang</w:t>
            </w:r>
          </w:p>
        </w:tc>
      </w:tr>
      <w:tr>
        <w:trPr>
          <w:trHeight w:val="195"/>
        </w:trPr>
        <w:tc>
          <w:tcPr>
            <w:tcW w:w="520" w:type="dxa"/>
            <w:vAlign w:val="bottom"/>
          </w:tcPr>
          <w:p>
            <w:pPr>
              <w:spacing w:after="0" w:line="195" w:lineRule="exact"/>
              <w:rPr>
                <w:sz w:val="20"/>
                <w:szCs w:val="20"/>
                <w:color w:val="auto"/>
              </w:rPr>
            </w:pPr>
            <w:r>
              <w:rPr>
                <w:rFonts w:ascii="Arial" w:cs="Arial" w:eastAsia="Arial" w:hAnsi="Arial"/>
                <w:sz w:val="18"/>
                <w:szCs w:val="18"/>
                <w:color w:val="auto"/>
                <w:w w:val="94"/>
              </w:rPr>
              <w:t>Name:</w:t>
            </w:r>
          </w:p>
        </w:tc>
        <w:tc>
          <w:tcPr>
            <w:tcW w:w="3880" w:type="dxa"/>
            <w:vAlign w:val="bottom"/>
          </w:tcPr>
          <w:p>
            <w:pPr>
              <w:ind w:left="60"/>
              <w:spacing w:after="0" w:line="195" w:lineRule="exact"/>
              <w:rPr>
                <w:sz w:val="20"/>
                <w:szCs w:val="20"/>
                <w:color w:val="auto"/>
              </w:rPr>
            </w:pPr>
            <w:r>
              <w:rPr>
                <w:rFonts w:ascii="Arial" w:cs="Arial" w:eastAsia="Arial" w:hAnsi="Arial"/>
                <w:sz w:val="18"/>
                <w:szCs w:val="18"/>
                <w:color w:val="auto"/>
              </w:rPr>
              <w:t>Xiaojun Zhang</w:t>
            </w:r>
          </w:p>
        </w:tc>
      </w:tr>
      <w:tr>
        <w:trPr>
          <w:trHeight w:val="230"/>
        </w:trPr>
        <w:tc>
          <w:tcPr>
            <w:tcW w:w="520" w:type="dxa"/>
            <w:vAlign w:val="bottom"/>
          </w:tcPr>
          <w:p>
            <w:pPr>
              <w:spacing w:after="0"/>
              <w:rPr>
                <w:sz w:val="20"/>
                <w:szCs w:val="20"/>
                <w:color w:val="auto"/>
              </w:rPr>
            </w:pPr>
            <w:r>
              <w:rPr>
                <w:rFonts w:ascii="Arial" w:cs="Arial" w:eastAsia="Arial" w:hAnsi="Arial"/>
                <w:sz w:val="18"/>
                <w:szCs w:val="18"/>
                <w:color w:val="auto"/>
              </w:rPr>
              <w:t>Title:</w:t>
            </w:r>
          </w:p>
        </w:tc>
        <w:tc>
          <w:tcPr>
            <w:tcW w:w="3880" w:type="dxa"/>
            <w:vAlign w:val="bottom"/>
          </w:tcPr>
          <w:p>
            <w:pPr>
              <w:ind w:left="60"/>
              <w:spacing w:after="0"/>
              <w:rPr>
                <w:sz w:val="20"/>
                <w:szCs w:val="20"/>
                <w:color w:val="auto"/>
              </w:rPr>
            </w:pPr>
            <w:r>
              <w:rPr>
                <w:rFonts w:ascii="Arial" w:cs="Arial" w:eastAsia="Arial" w:hAnsi="Arial"/>
                <w:sz w:val="18"/>
                <w:szCs w:val="18"/>
                <w:color w:val="auto"/>
              </w:rPr>
              <w:t>Authorized Signatory</w:t>
            </w:r>
          </w:p>
        </w:tc>
      </w:tr>
    </w:tbl>
    <w:p>
      <w:pPr>
        <w:spacing w:after="0" w:line="13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Page 7 of 8</w:t>
      </w:r>
    </w:p>
    <w:p>
      <w:pPr>
        <w:sectPr>
          <w:pgSz w:w="11900" w:h="16838" w:orient="portrait"/>
          <w:cols w:equalWidth="0" w:num="1">
            <w:col w:w="11020"/>
          </w:cols>
          <w:pgMar w:left="440" w:top="270" w:right="439" w:bottom="1440" w:gutter="0" w:footer="0" w:header="0"/>
        </w:sectPr>
      </w:pPr>
    </w:p>
    <w:bookmarkStart w:id="7" w:name="page8"/>
    <w:bookmarkEnd w:id="7"/>
    <w:p>
      <w:pPr>
        <w:jc w:val="center"/>
        <w:ind w:right="20"/>
        <w:spacing w:after="0"/>
        <w:rPr>
          <w:sz w:val="20"/>
          <w:szCs w:val="20"/>
          <w:color w:val="auto"/>
        </w:rPr>
      </w:pPr>
      <w:r>
        <w:rPr>
          <w:rFonts w:ascii="Arial" w:cs="Arial" w:eastAsia="Arial" w:hAnsi="Arial"/>
          <w:sz w:val="18"/>
          <w:szCs w:val="18"/>
          <w:b w:val="1"/>
          <w:bCs w:val="1"/>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74865" cy="38100"/>
                    </a:xfrm>
                    <a:prstGeom prst="rect">
                      <a:avLst/>
                    </a:prstGeom>
                    <a:noFill/>
                  </pic:spPr>
                </pic:pic>
              </a:graphicData>
            </a:graphic>
          </wp:anchor>
        </w:drawing>
        <w:t>EXHIBIT INDEX</w:t>
      </w:r>
    </w:p>
    <w:p>
      <w:pPr>
        <w:spacing w:after="0" w:line="252" w:lineRule="exact"/>
        <w:rPr>
          <w:sz w:val="20"/>
          <w:szCs w:val="20"/>
          <w:color w:val="auto"/>
        </w:rPr>
      </w:pPr>
    </w:p>
    <w:tbl>
      <w:tblPr>
        <w:tblLayout w:type="fixed"/>
        <w:tblInd w:w="0" w:type="dxa"/>
        <w:tblCellMar>
          <w:top w:w="0" w:type="dxa"/>
          <w:left w:w="0" w:type="dxa"/>
          <w:bottom w:w="0" w:type="dxa"/>
          <w:right w:w="0" w:type="dxa"/>
        </w:tblCellMar>
      </w:tblPr>
      <w:tr>
        <w:trPr>
          <w:trHeight w:val="187"/>
        </w:trPr>
        <w:tc>
          <w:tcPr>
            <w:tcW w:w="680" w:type="dxa"/>
            <w:vAlign w:val="bottom"/>
            <w:tcBorders>
              <w:bottom w:val="single" w:sz="8" w:color="auto"/>
            </w:tcBorders>
          </w:tcPr>
          <w:p>
            <w:pPr>
              <w:spacing w:after="0"/>
              <w:rPr>
                <w:sz w:val="20"/>
                <w:szCs w:val="20"/>
                <w:color w:val="auto"/>
              </w:rPr>
            </w:pPr>
            <w:r>
              <w:rPr>
                <w:rFonts w:ascii="Arial" w:cs="Arial" w:eastAsia="Arial" w:hAnsi="Arial"/>
                <w:sz w:val="14"/>
                <w:szCs w:val="14"/>
                <w:color w:val="auto"/>
                <w:w w:val="97"/>
              </w:rPr>
              <w:t>Exhibit No.</w:t>
            </w:r>
          </w:p>
        </w:tc>
        <w:tc>
          <w:tcPr>
            <w:tcW w:w="10340" w:type="dxa"/>
            <w:vAlign w:val="bottom"/>
            <w:gridSpan w:val="2"/>
          </w:tcPr>
          <w:p>
            <w:pPr>
              <w:ind w:left="740"/>
              <w:spacing w:after="0"/>
              <w:rPr>
                <w:sz w:val="20"/>
                <w:szCs w:val="20"/>
                <w:color w:val="auto"/>
              </w:rPr>
            </w:pPr>
            <w:r>
              <w:rPr>
                <w:rFonts w:ascii="Arial" w:cs="Arial" w:eastAsia="Arial" w:hAnsi="Arial"/>
                <w:sz w:val="14"/>
                <w:szCs w:val="14"/>
                <w:color w:val="auto"/>
              </w:rPr>
              <w:t>Description</w:t>
            </w:r>
          </w:p>
        </w:tc>
      </w:tr>
      <w:tr>
        <w:trPr>
          <w:trHeight w:val="217"/>
        </w:trPr>
        <w:tc>
          <w:tcPr>
            <w:tcW w:w="680" w:type="dxa"/>
            <w:vAlign w:val="bottom"/>
          </w:tcPr>
          <w:p>
            <w:pPr>
              <w:spacing w:after="0"/>
              <w:rPr>
                <w:sz w:val="20"/>
                <w:szCs w:val="20"/>
                <w:color w:val="auto"/>
              </w:rPr>
            </w:pPr>
            <w:r>
              <w:rPr>
                <w:rFonts w:ascii="Arial" w:cs="Arial" w:eastAsia="Arial" w:hAnsi="Arial"/>
                <w:sz w:val="18"/>
                <w:szCs w:val="18"/>
                <w:color w:val="auto"/>
              </w:rPr>
              <w:t>99.1</w:t>
            </w:r>
          </w:p>
        </w:tc>
        <w:tc>
          <w:tcPr>
            <w:tcW w:w="740" w:type="dxa"/>
            <w:vAlign w:val="bottom"/>
          </w:tcPr>
          <w:p>
            <w:pPr>
              <w:spacing w:after="0"/>
              <w:rPr>
                <w:sz w:val="18"/>
                <w:szCs w:val="18"/>
                <w:color w:val="auto"/>
              </w:rPr>
            </w:pPr>
          </w:p>
        </w:tc>
        <w:tc>
          <w:tcPr>
            <w:tcW w:w="9600" w:type="dxa"/>
            <w:vAlign w:val="bottom"/>
            <w:tcBorders>
              <w:top w:val="single" w:sz="8" w:color="auto"/>
            </w:tcBorders>
          </w:tcPr>
          <w:p>
            <w:pPr>
              <w:spacing w:after="0"/>
              <w:rPr>
                <w:sz w:val="20"/>
                <w:szCs w:val="20"/>
                <w:color w:val="auto"/>
              </w:rPr>
            </w:pPr>
            <w:r>
              <w:rPr>
                <w:rFonts w:ascii="Arial" w:cs="Arial" w:eastAsia="Arial" w:hAnsi="Arial"/>
                <w:sz w:val="18"/>
                <w:szCs w:val="18"/>
                <w:color w:val="auto"/>
              </w:rPr>
              <w:t>Joint Filing Agreement</w:t>
            </w:r>
          </w:p>
        </w:tc>
      </w:tr>
    </w:tbl>
    <w:p>
      <w:pPr>
        <w:spacing w:after="0" w:line="120" w:lineRule="exact"/>
        <w:rPr>
          <w:sz w:val="20"/>
          <w:szCs w:val="20"/>
          <w:color w:val="auto"/>
        </w:rPr>
      </w:pPr>
    </w:p>
    <w:p>
      <w:pPr>
        <w:jc w:val="center"/>
        <w:ind w:right="20"/>
        <w:spacing w:after="0"/>
        <w:rPr>
          <w:sz w:val="20"/>
          <w:szCs w:val="20"/>
          <w:color w:val="auto"/>
        </w:rPr>
      </w:pPr>
      <w:r>
        <w:rPr>
          <w:rFonts w:ascii="Arial" w:cs="Arial" w:eastAsia="Arial" w:hAnsi="Arial"/>
          <w:sz w:val="18"/>
          <w:szCs w:val="18"/>
          <w:color w:val="auto"/>
        </w:rPr>
        <w:t>Page 8 of 8</w:t>
      </w:r>
    </w:p>
    <w:p>
      <w:pPr>
        <w:sectPr>
          <w:pgSz w:w="11900" w:h="16838" w:orient="portrait"/>
          <w:cols w:equalWidth="0" w:num="1">
            <w:col w:w="11020"/>
          </w:cols>
          <w:pgMar w:left="440" w:top="270" w:right="439" w:bottom="1440" w:gutter="0" w:footer="0" w:header="0"/>
        </w:sectPr>
      </w:pPr>
    </w:p>
    <w:bookmarkStart w:id="8" w:name="page9"/>
    <w:bookmarkEnd w:id="8"/>
    <w:p>
      <w:pPr>
        <w:jc w:val="right"/>
        <w:spacing w:after="0"/>
        <w:rPr>
          <w:sz w:val="20"/>
          <w:szCs w:val="20"/>
          <w:color w:val="auto"/>
        </w:rPr>
      </w:pPr>
      <w:r>
        <w:rPr>
          <w:rFonts w:ascii="Arial" w:cs="Arial" w:eastAsia="Arial" w:hAnsi="Arial"/>
          <w:sz w:val="18"/>
          <w:szCs w:val="18"/>
          <w:b w:val="1"/>
          <w:bCs w:val="1"/>
          <w:color w:val="auto"/>
        </w:rPr>
        <w:t>Exhibit 99.1</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Joint Filing Agreement</w:t>
      </w:r>
    </w:p>
    <w:p>
      <w:pPr>
        <w:spacing w:after="0" w:line="229" w:lineRule="exact"/>
        <w:rPr>
          <w:sz w:val="20"/>
          <w:szCs w:val="20"/>
          <w:color w:val="auto"/>
        </w:rPr>
      </w:pPr>
    </w:p>
    <w:p>
      <w:pPr>
        <w:ind w:right="100" w:firstLine="440"/>
        <w:spacing w:after="0" w:line="301" w:lineRule="auto"/>
        <w:rPr>
          <w:sz w:val="20"/>
          <w:szCs w:val="20"/>
          <w:color w:val="auto"/>
        </w:rPr>
      </w:pPr>
      <w:r>
        <w:rPr>
          <w:rFonts w:ascii="Arial" w:cs="Arial" w:eastAsia="Arial" w:hAnsi="Arial"/>
          <w:sz w:val="16"/>
          <w:szCs w:val="16"/>
          <w:color w:val="auto"/>
        </w:rPr>
        <w:t>In accordance with Rule 13d-1(k) promulgated under the Securities Exchange Act of 1934, as amended, the undersigned hereby agree to the joint filing on behalf of each of them of a statement on Schedule 13G (including amendments thereto) with respect to Class A ordinary shares, par value US$0.0001 per share, of Cango Inc., a Cayman Islands company, and that this Agreement may be included as an Exhibit to such joint filing. This Agreement may be executed in any number of counterparts, all of which taken together shall constitute one and the same instrument.</w:t>
      </w:r>
    </w:p>
    <w:p>
      <w:pPr>
        <w:spacing w:after="0" w:line="15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w:t>
      </w:r>
      <w:r>
        <w:rPr>
          <w:rFonts w:ascii="Arial" w:cs="Arial" w:eastAsia="Arial" w:hAnsi="Arial"/>
          <w:sz w:val="18"/>
          <w:szCs w:val="18"/>
          <w:i w:val="1"/>
          <w:iCs w:val="1"/>
          <w:color w:val="auto"/>
        </w:rPr>
        <w:t>Signature Page Follows</w:t>
      </w:r>
      <w:r>
        <w:rPr>
          <w:rFonts w:ascii="Arial" w:cs="Arial" w:eastAsia="Arial" w:hAnsi="Arial"/>
          <w:sz w:val="18"/>
          <w:szCs w:val="18"/>
          <w:color w:val="auto"/>
        </w:rPr>
        <w:t>]</w:t>
      </w:r>
    </w:p>
    <w:p>
      <w:pPr>
        <w:sectPr>
          <w:pgSz w:w="11900" w:h="16838" w:orient="portrait"/>
          <w:cols w:equalWidth="0" w:num="1">
            <w:col w:w="11020"/>
          </w:cols>
          <w:pgMar w:left="440" w:top="121" w:right="439" w:bottom="1440" w:gutter="0" w:footer="0" w:header="0"/>
        </w:sectPr>
      </w:pPr>
    </w:p>
    <w:bookmarkStart w:id="9" w:name="page10"/>
    <w:bookmarkEnd w:id="9"/>
    <w:p>
      <w:pPr>
        <w:spacing w:after="0"/>
        <w:rPr>
          <w:sz w:val="20"/>
          <w:szCs w:val="20"/>
          <w:color w:val="auto"/>
        </w:rPr>
      </w:pPr>
      <w:r>
        <w:rPr>
          <w:rFonts w:ascii="Arial" w:cs="Arial" w:eastAsia="Arial" w:hAnsi="Arial"/>
          <w:sz w:val="18"/>
          <w:szCs w:val="18"/>
          <w:color w:val="auto"/>
        </w:rPr>
        <w:drawing>
          <wp:anchor simplePos="0" relativeHeight="251657728" behindDoc="1" locked="0" layoutInCell="0" allowOverlap="1">
            <wp:simplePos x="0" y="0"/>
            <wp:positionH relativeFrom="page">
              <wp:posOffset>195580</wp:posOffset>
            </wp:positionH>
            <wp:positionV relativeFrom="page">
              <wp:posOffset>88900</wp:posOffset>
            </wp:positionV>
            <wp:extent cx="7174865" cy="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74865" cy="38100"/>
                    </a:xfrm>
                    <a:prstGeom prst="rect">
                      <a:avLst/>
                    </a:prstGeom>
                    <a:noFill/>
                  </pic:spPr>
                </pic:pic>
              </a:graphicData>
            </a:graphic>
          </wp:anchor>
        </w:drawing>
        <w:t>IN WITNESS WHEREOF, the undersigned hereby execute this Agreement as of February 14, 2022.</w:t>
      </w:r>
    </w:p>
    <w:p>
      <w:pPr>
        <w:spacing w:after="0" w:line="248" w:lineRule="exact"/>
        <w:rPr>
          <w:sz w:val="20"/>
          <w:szCs w:val="20"/>
          <w:color w:val="auto"/>
        </w:rPr>
      </w:pPr>
    </w:p>
    <w:p>
      <w:pPr>
        <w:ind w:left="6620"/>
        <w:spacing w:after="0"/>
        <w:rPr>
          <w:sz w:val="20"/>
          <w:szCs w:val="20"/>
          <w:color w:val="auto"/>
        </w:rPr>
      </w:pPr>
      <w:r>
        <w:rPr>
          <w:rFonts w:ascii="Arial" w:cs="Arial" w:eastAsia="Arial" w:hAnsi="Arial"/>
          <w:sz w:val="18"/>
          <w:szCs w:val="18"/>
          <w:b w:val="1"/>
          <w:bCs w:val="1"/>
          <w:color w:val="auto"/>
        </w:rPr>
        <w:t>Xiaojun Zhang</w:t>
      </w:r>
    </w:p>
    <w:p>
      <w:pPr>
        <w:spacing w:after="0" w:line="229"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Xiaojun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Xiaojun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Chairman</w:t>
      </w:r>
    </w:p>
    <w:p>
      <w:pPr>
        <w:spacing w:after="0" w:line="207" w:lineRule="exact"/>
        <w:rPr>
          <w:sz w:val="20"/>
          <w:szCs w:val="20"/>
          <w:color w:val="auto"/>
        </w:rPr>
      </w:pPr>
    </w:p>
    <w:p>
      <w:pPr>
        <w:ind w:left="6620"/>
        <w:spacing w:after="0"/>
        <w:rPr>
          <w:sz w:val="20"/>
          <w:szCs w:val="20"/>
          <w:color w:val="auto"/>
        </w:rPr>
      </w:pPr>
      <w:r>
        <w:rPr>
          <w:rFonts w:ascii="Arial" w:cs="Arial" w:eastAsia="Arial" w:hAnsi="Arial"/>
          <w:sz w:val="16"/>
          <w:szCs w:val="16"/>
          <w:b w:val="1"/>
          <w:bCs w:val="1"/>
          <w:color w:val="auto"/>
        </w:rPr>
        <w:t>Eagle Central Holding Limited</w:t>
      </w:r>
    </w:p>
    <w:p>
      <w:pPr>
        <w:spacing w:after="0" w:line="252"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Xiaojun Zhang</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4566285</wp:posOffset>
            </wp:positionH>
            <wp:positionV relativeFrom="paragraph">
              <wp:posOffset>14605</wp:posOffset>
            </wp:positionV>
            <wp:extent cx="242570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2425700" cy="8255"/>
                    </a:xfrm>
                    <a:prstGeom prst="rect">
                      <a:avLst/>
                    </a:prstGeom>
                    <a:noFill/>
                  </pic:spPr>
                </pic:pic>
              </a:graphicData>
            </a:graphic>
          </wp:anchor>
        </w:drawing>
      </w:r>
    </w:p>
    <w:p>
      <w:pPr>
        <w:spacing w:after="0" w:line="16" w:lineRule="exact"/>
        <w:rPr>
          <w:sz w:val="20"/>
          <w:szCs w:val="20"/>
          <w:color w:val="auto"/>
        </w:rPr>
      </w:pPr>
    </w:p>
    <w:p>
      <w:pPr>
        <w:ind w:left="6620"/>
        <w:spacing w:after="0"/>
        <w:rPr>
          <w:sz w:val="20"/>
          <w:szCs w:val="20"/>
          <w:color w:val="auto"/>
        </w:rPr>
      </w:pPr>
      <w:r>
        <w:rPr>
          <w:rFonts w:ascii="Arial" w:cs="Arial" w:eastAsia="Arial" w:hAnsi="Arial"/>
          <w:sz w:val="18"/>
          <w:szCs w:val="18"/>
          <w:color w:val="auto"/>
        </w:rPr>
        <w:t>Name: Xiaojun Zhang</w:t>
      </w:r>
    </w:p>
    <w:p>
      <w:pPr>
        <w:spacing w:after="0" w:line="23" w:lineRule="exact"/>
        <w:rPr>
          <w:sz w:val="20"/>
          <w:szCs w:val="20"/>
          <w:color w:val="auto"/>
        </w:rPr>
      </w:pPr>
    </w:p>
    <w:p>
      <w:pPr>
        <w:ind w:left="6620"/>
        <w:spacing w:after="0"/>
        <w:tabs>
          <w:tab w:leader="none" w:pos="7180" w:val="left"/>
        </w:tabs>
        <w:rPr>
          <w:sz w:val="20"/>
          <w:szCs w:val="20"/>
          <w:color w:val="auto"/>
        </w:rPr>
      </w:pPr>
      <w:r>
        <w:rPr>
          <w:rFonts w:ascii="Arial" w:cs="Arial" w:eastAsia="Arial" w:hAnsi="Arial"/>
          <w:sz w:val="18"/>
          <w:szCs w:val="18"/>
          <w:color w:val="auto"/>
        </w:rPr>
        <w:t>Title:</w:t>
        <w:tab/>
        <w:t>Authorized Signatory</w:t>
      </w:r>
    </w:p>
    <w:sectPr>
      <w:pgSz w:w="11900" w:h="16838" w:orient="portrait"/>
      <w:cols w:equalWidth="0" w:num="1">
        <w:col w:w="10019"/>
      </w:cols>
      <w:pgMar w:left="440" w:top="274"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38E1F29"/>
    <w:multiLevelType w:val="hybridMultilevel"/>
    <w:lvl w:ilvl="0">
      <w:lvlJc w:val="left"/>
      <w:lvlText w:val="☐"/>
      <w:numFmt w:val="bullet"/>
      <w:start w:val="1"/>
    </w:lvl>
  </w:abstractNum>
  <w:abstractNum w:abstractNumId="1">
    <w:nsid w:val="46E87CCD"/>
    <w:multiLevelType w:val="hybridMultilevel"/>
    <w:lvl w:ilvl="0">
      <w:lvlJc w:val="left"/>
      <w:lvlText w:val="*"/>
      <w:numFmt w:val="bullet"/>
      <w:start w:val="1"/>
    </w:lvl>
  </w:abstractNum>
  <w:abstractNum w:abstractNumId="2">
    <w:nsid w:val="3D1B58BA"/>
    <w:multiLevelType w:val="hybridMultilevel"/>
    <w:lvl w:ilvl="0">
      <w:lvlJc w:val="left"/>
      <w:lvlText w:val="(%1)"/>
      <w:numFmt w:val="decimal"/>
      <w:start w:val="1"/>
    </w:lvl>
  </w:abstractNum>
  <w:abstractNum w:abstractNumId="3">
    <w:nsid w:val="507ED7AB"/>
    <w:multiLevelType w:val="hybridMultilevel"/>
    <w:lvl w:ilvl="0">
      <w:lvlJc w:val="left"/>
      <w:lvlText w:val="(%1)"/>
      <w:numFmt w:val="decimal"/>
      <w:start w:val="1"/>
    </w:lvl>
  </w:abstractNum>
  <w:abstractNum w:abstractNumId="4">
    <w:nsid w:val="2EB141F2"/>
    <w:multiLevelType w:val="hybridMultilevel"/>
    <w:lvl w:ilvl="0">
      <w:lvlJc w:val="left"/>
      <w:lvlText w:val="(%1)"/>
      <w:numFmt w:val="decimal"/>
      <w:start w:val="1"/>
    </w:lvl>
  </w:abstractNum>
  <w:abstractNum w:abstractNumId="5">
    <w:nsid w:val="41B71EFB"/>
    <w:multiLevelType w:val="hybridMultilevel"/>
    <w:lvl w:ilvl="0">
      <w:lvlJc w:val="left"/>
      <w:lvlText w:val="(%1)"/>
      <w:numFmt w:val="lowerLetter"/>
      <w:start w:val="1"/>
    </w:lvl>
  </w:abstractNum>
  <w:abstractNum w:abstractNumId="6">
    <w:nsid w:val="79E2A9E3"/>
    <w:multiLevelType w:val="hybridMultilevel"/>
    <w:lvl w:ilvl="0">
      <w:lvlJc w:val="left"/>
      <w:lvlText w:val="(%1)"/>
      <w:numFmt w:val="lowerLetter"/>
      <w:start w:val="1"/>
    </w:lvl>
    <w:lvl w:ilvl="1">
      <w:lvlJc w:val="left"/>
      <w:lvlText w:val="(%2)"/>
      <w:numFmt w:val="lowerRoman"/>
      <w:start w:val="1"/>
    </w:lvl>
  </w:abstractNum>
  <w:abstractNum w:abstractNumId="7">
    <w:nsid w:val="7545E146"/>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2022-02-14T15:30:02Z</dcterms:created>
  <dcterms:modified xsi:type="dcterms:W3CDTF">2022-02-14T15:30:02Z</dcterms:modified>
</cp:coreProperties>
</file>